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6.xml"/>
  <Override ContentType="application/vnd.openxmlformats-officedocument.wordprocessingml.footer+xml" PartName="/word/footer5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  <Override ContentType="application/vnd.openxmlformats-officedocument.wordprocessingml.header+xml" PartName="/word/header6.xml"/>
  <Override ContentType="application/vnd.openxmlformats-officedocument.wordprocessingml.header+xml" PartName="/word/header5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ZAPYTANIE OFERTOWE </w:t>
      </w:r>
    </w:p>
    <w:p w:rsidR="00000000" w:rsidDel="00000000" w:rsidP="00000000" w:rsidRDefault="00000000" w:rsidRPr="00000000" w14:paraId="00000002">
      <w:pPr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sz w:val="24"/>
          <w:szCs w:val="24"/>
        </w:rPr>
      </w:pPr>
      <w:bookmarkStart w:colFirst="0" w:colLast="0" w:name="_heading=h.zhzzl4z39dmh" w:id="0"/>
      <w:bookmarkEnd w:id="0"/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na świadczenie kompleksowej obsługi wydarzenia w zakresie zapewnienia pobytu, wyżywienia i dostępu do sal szkoleniowych </w:t>
      </w:r>
      <w:r w:rsidDel="00000000" w:rsidR="00000000" w:rsidRPr="00000000">
        <w:rPr>
          <w:sz w:val="24"/>
          <w:szCs w:val="24"/>
          <w:rtl w:val="0"/>
        </w:rPr>
        <w:t xml:space="preserve">dla uczestników szkolenia realizowanego w ramach projektu pn. Rozwój i Wzmocnienie Instytucjonalne Organizacji Pozarządowych w Polsce: Nowe Perspektywy i Strategie nr FERS.04.12-IP.04-0016/24, finansowanego ze środków programu Fundusze Europejskie dla Rozwoju Społecznego 2021-27.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Głównym celem projektu jest rozwój dialogu obywatelskiego poprzez: zwiększenie kompetencji przedstawicieli organizacji pozarządowych w zakresie budowania i rozwoju potencjału instytucjonalnego NGO do świadczenia usług publicznych. Cel projektu zostanie osiągnięty poprzez wsparcie szkoleniowe dla NGO, prowadzące do nabycia kompetencji w ww. obszarach oraz opracowanie poradnika dla NGO zawierającego dobre praktyki, które mogą być wykorzystywane przez inne organizacje pozarządowe.</w:t>
      </w:r>
    </w:p>
    <w:p w:rsidR="00000000" w:rsidDel="00000000" w:rsidP="00000000" w:rsidRDefault="00000000" w:rsidRPr="00000000" w14:paraId="00000006">
      <w:pPr>
        <w:spacing w:after="19" w:line="259" w:lineRule="auto"/>
        <w:ind w:left="545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85" w:right="0" w:hanging="36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Fundacja Młode Kresy</w:t>
        <w:br w:type="textWrapping"/>
        <w:t xml:space="preserve">Grodkowska 15 / 52, 01-461 Warszawa, Polska</w:t>
      </w:r>
    </w:p>
    <w:p w:rsidR="00000000" w:rsidDel="00000000" w:rsidP="00000000" w:rsidRDefault="00000000" w:rsidRPr="00000000" w14:paraId="00000009">
      <w:pPr>
        <w:pStyle w:val="Heading1"/>
        <w:spacing w:after="7" w:lineRule="auto"/>
        <w:ind w:left="247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spacing w:after="7" w:lineRule="auto"/>
        <w:ind w:left="247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II. Opis przedmiotu zamówienia </w:t>
      </w:r>
    </w:p>
    <w:p w:rsidR="00000000" w:rsidDel="00000000" w:rsidP="00000000" w:rsidRDefault="00000000" w:rsidRPr="00000000" w14:paraId="0000000B">
      <w:pPr>
        <w:spacing w:after="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Przedmiotem zapytania ofertowego obsługa szkoleń organizowanych przez zamawiającego, obejmująca świadczenie usług hotelowych i gastronomicznych oraz zagwarantowanie sali szkoleniowej w celu przeprowadzenia przez Zamawiającego szkolenia w ramach projektu pn. Rozwój i Wzmocnienie Instytucjonalne Organizacji Pozarządowych w Polsce: Nowe Perspektywy i Strategie nr FERS.04.12-IP.04-0016/24, finansowanego ze środków programu Fundusze Europejskie dla Rozwoju Społecznego 2021-27.</w:t>
      </w:r>
    </w:p>
    <w:p w:rsidR="00000000" w:rsidDel="00000000" w:rsidP="00000000" w:rsidRDefault="00000000" w:rsidRPr="00000000" w14:paraId="0000000C">
      <w:pPr>
        <w:spacing w:after="19" w:line="259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0" w:line="268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Kody CPV: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6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Usługi hotelarskie, restauracyjne i handlu detalicznego </w:t>
      </w:r>
    </w:p>
    <w:p w:rsidR="00000000" w:rsidDel="00000000" w:rsidP="00000000" w:rsidRDefault="00000000" w:rsidRPr="00000000" w14:paraId="0000000F">
      <w:pPr>
        <w:spacing w:after="11" w:line="268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55100000-1 - usługi hotelarskie </w:t>
      </w:r>
    </w:p>
    <w:p w:rsidR="00000000" w:rsidDel="00000000" w:rsidP="00000000" w:rsidRDefault="00000000" w:rsidRPr="00000000" w14:paraId="00000010">
      <w:pPr>
        <w:spacing w:after="9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55110000-4 - hotelarskie usługi noclegowe </w:t>
      </w:r>
    </w:p>
    <w:p w:rsidR="00000000" w:rsidDel="00000000" w:rsidP="00000000" w:rsidRDefault="00000000" w:rsidRPr="00000000" w14:paraId="00000011">
      <w:pPr>
        <w:spacing w:after="6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55120000-7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- usługi hotelarskie w zakresie spotkań i konferencji </w:t>
      </w:r>
    </w:p>
    <w:p w:rsidR="00000000" w:rsidDel="00000000" w:rsidP="00000000" w:rsidRDefault="00000000" w:rsidRPr="00000000" w14:paraId="00000012">
      <w:pPr>
        <w:spacing w:after="9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55300000-3 - usługi restauracyjne i dotyczące podawania posiłków  </w:t>
      </w:r>
    </w:p>
    <w:p w:rsidR="00000000" w:rsidDel="00000000" w:rsidP="00000000" w:rsidRDefault="00000000" w:rsidRPr="00000000" w14:paraId="00000013">
      <w:pPr>
        <w:spacing w:after="402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55321000-6 - usługi przygotowywania posiłków.</w:t>
      </w:r>
    </w:p>
    <w:p w:rsidR="00000000" w:rsidDel="00000000" w:rsidP="00000000" w:rsidRDefault="00000000" w:rsidRPr="00000000" w14:paraId="00000014">
      <w:pPr>
        <w:pStyle w:val="Heading1"/>
        <w:spacing w:after="42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III. Szczegółowy opis przedmiotu zamówienia </w:t>
      </w:r>
    </w:p>
    <w:p w:rsidR="00000000" w:rsidDel="00000000" w:rsidP="00000000" w:rsidRDefault="00000000" w:rsidRPr="00000000" w14:paraId="00000015">
      <w:pPr>
        <w:numPr>
          <w:ilvl w:val="0"/>
          <w:numId w:val="35"/>
        </w:numPr>
        <w:spacing w:after="5" w:lineRule="auto"/>
        <w:ind w:left="975" w:right="0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Przedmiot zamówienia obejmuje zapewnienie noclegów, wyżywienia oraz sali szkoleniowej dla uczestników w ramach projektu pn. „Rozwój i Wzmocnienie Instytucjonalne Organizacji Pozarządowych w Polsce: Nowe Perspektywy i Strategie”. Szkolenie trwa trzy dni (piątek–sobota-niedziela), obejmując dwie doby hotelowe. </w:t>
      </w:r>
    </w:p>
    <w:p w:rsidR="00000000" w:rsidDel="00000000" w:rsidP="00000000" w:rsidRDefault="00000000" w:rsidRPr="00000000" w14:paraId="00000016">
      <w:pPr>
        <w:numPr>
          <w:ilvl w:val="0"/>
          <w:numId w:val="35"/>
        </w:numPr>
        <w:spacing w:after="5" w:lineRule="auto"/>
        <w:ind w:left="975" w:right="0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Usługa ma zostać wykonana w terminie:</w:t>
        <w:br w:type="textWrapping"/>
        <w:t xml:space="preserve">- 12-14 grudnia 2025 r.</w:t>
      </w:r>
    </w:p>
    <w:p w:rsidR="00000000" w:rsidDel="00000000" w:rsidP="00000000" w:rsidRDefault="00000000" w:rsidRPr="00000000" w14:paraId="00000017">
      <w:pPr>
        <w:numPr>
          <w:ilvl w:val="0"/>
          <w:numId w:val="35"/>
        </w:numPr>
        <w:spacing w:after="5" w:lineRule="auto"/>
        <w:ind w:left="975" w:right="0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Dopuszcza się możliwość, aby pokoje, w których będą zakwaterowani Uczestnicy i Uczestniczki, były w osobnych budynkach niż stołówka/sala szkoleniowa, przy czym odległość od nich nie może być większa niż 300 m, liczona drogą udostępnioną dla ruchu pieszego. </w:t>
      </w:r>
    </w:p>
    <w:p w:rsidR="00000000" w:rsidDel="00000000" w:rsidP="00000000" w:rsidRDefault="00000000" w:rsidRPr="00000000" w14:paraId="00000018">
      <w:pPr>
        <w:numPr>
          <w:ilvl w:val="0"/>
          <w:numId w:val="35"/>
        </w:numPr>
        <w:ind w:left="975" w:right="0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Wykonawca musi zapewnić podczas szkolenia: </w:t>
      </w:r>
    </w:p>
    <w:p w:rsidR="00000000" w:rsidDel="00000000" w:rsidP="00000000" w:rsidRDefault="00000000" w:rsidRPr="00000000" w14:paraId="00000019">
      <w:pPr>
        <w:numPr>
          <w:ilvl w:val="1"/>
          <w:numId w:val="15"/>
        </w:numPr>
        <w:ind w:left="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Usługę hotelowa powinna obejmować nocleg dla 20 osób w obiekcie noclegowym o standardzie odpowiadającym hotelowi 3-gwiazdkowemu, zgodnie z wymaganiami określonymi w rozporządzeniu Ministra Gospodarki i Pracy z dnia 19 sierpnia 2004 r. w sprawie obiektów hotelarskich i innych obiektów, w których świadczone są usługi hotelarskie (Dz.U. Nr 188, poz. 1945, z późn. zm.).</w:t>
      </w:r>
    </w:p>
    <w:p w:rsidR="00000000" w:rsidDel="00000000" w:rsidP="00000000" w:rsidRDefault="00000000" w:rsidRPr="00000000" w14:paraId="0000001A">
      <w:pPr>
        <w:numPr>
          <w:ilvl w:val="1"/>
          <w:numId w:val="15"/>
        </w:numPr>
        <w:ind w:left="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Nocleg powinien być zagwarantowany w pokojach 2-osobowych, posiadających pełen węzeł sanitarny, TV, ręczniki, bezpłatny Internet oraz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możliwość zameldowania w pokoju co najmniej od godz. 13.00.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1"/>
          <w:numId w:val="15"/>
        </w:numPr>
        <w:ind w:left="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Noclegi należy zapewnić w pokojach maksymalnie dwuosobowych, jednakże Wykonawca powinien być w stanie zapewnić także pokoje jednoosobowe w przypadku nierównej pod względem płci konfiguracji osób w grupie.</w:t>
      </w:r>
    </w:p>
    <w:p w:rsidR="00000000" w:rsidDel="00000000" w:rsidP="00000000" w:rsidRDefault="00000000" w:rsidRPr="00000000" w14:paraId="0000001C">
      <w:pPr>
        <w:numPr>
          <w:ilvl w:val="1"/>
          <w:numId w:val="15"/>
        </w:numPr>
        <w:ind w:left="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Informacja o ostatecznej liczbie osób oraz o tym, czy są wymagane także pokoje jednoosobowe oraz dla osób ze specjalnymi potrzebami, zostanie podana Wykonawcy przed każdym wydarzeniem/daną formą wsparcia dla danej grupy uczestników, nie później niż 3 dni kalendarzowe przed terminem rozpoczęcia realizacji usługi. Zamawiający zapłaci za faktyczną liczbę osób nocujących.</w:t>
      </w:r>
    </w:p>
    <w:p w:rsidR="00000000" w:rsidDel="00000000" w:rsidP="00000000" w:rsidRDefault="00000000" w:rsidRPr="00000000" w14:paraId="0000001D">
      <w:pPr>
        <w:numPr>
          <w:ilvl w:val="1"/>
          <w:numId w:val="15"/>
        </w:numPr>
        <w:ind w:left="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Sala szkoleniowa/konferencyjna oraz budynek, w którym świadczone będą usługi zapewniają dostęp dla osób z niepełnosprawnością ruchową (tj. dostosowanie architektoniczne). Hotel dysponuje co najmniej 1 pokojem dla osób z niepełnosprawnościami, który będzie mógł zostać zarezerwowany przez Zamawiającego.</w:t>
      </w:r>
    </w:p>
    <w:p w:rsidR="00000000" w:rsidDel="00000000" w:rsidP="00000000" w:rsidRDefault="00000000" w:rsidRPr="00000000" w14:paraId="0000001E">
      <w:pPr>
        <w:numPr>
          <w:ilvl w:val="1"/>
          <w:numId w:val="15"/>
        </w:numPr>
        <w:ind w:left="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Wykonawca winien zapewnić możliwość noclegów dla osób ze specjalnymi potrzebami, w tym osób z niepełnosprawnościami: dojście do pokoju powinno zapewniać bezproblemowe dotarcie m.in. osób na wózku aktywnym/ortopedycznym (np. płaska nawierzchnia lub podjazd/winda itp.); pokój i łazienka powinny być przystosowane do użytku osób z niepełnosprawnościami m.in. na wózku aktywnym/ortopedycznym. W cenę noclegu musi być wliczone śniadanie.</w:t>
      </w:r>
    </w:p>
    <w:p w:rsidR="00000000" w:rsidDel="00000000" w:rsidP="00000000" w:rsidRDefault="00000000" w:rsidRPr="00000000" w14:paraId="0000001F">
      <w:pPr>
        <w:ind w:left="0" w:right="0" w:firstLine="0"/>
        <w:rPr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bCs w:val="1"/>
          <w:sz w:val="24"/>
          <w:szCs w:val="24"/>
          <w:u w:val="single"/>
          <w:rtl w:val="0"/>
        </w:rPr>
        <w:t xml:space="preserve">Wyżywienie dla uczestników:  </w:t>
      </w:r>
    </w:p>
    <w:p w:rsidR="00000000" w:rsidDel="00000000" w:rsidP="00000000" w:rsidRDefault="00000000" w:rsidRPr="00000000" w14:paraId="00000020">
      <w:pPr>
        <w:ind w:left="0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9" w:before="0" w:line="270" w:lineRule="auto"/>
        <w:ind w:left="360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Przerwa kawowa ciągła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before="240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Zapewnienie ciągłej przerwy kawowej dla uczestników szkolenia przez 2 dni (sobota-niedziela), dla 20 osób dziennie. Przerwa kawowa obejmuje kawę, herbatę, wodę (w szklanych butelkach lub woda z dystrybutorów wody pitnej serwowana w szklanych dzbankach), mleko, cukier lub jego zamiennik, cytrynę, drobne słone lub słodkie przekąski typu paluszki lub kruche ciastka lub owoce. Serwis powinien być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dostępny dla uczestników bez ograniczeń przez cały czas trwania</w:t>
      </w:r>
      <w:r w:rsidDel="00000000" w:rsidR="00000000" w:rsidRPr="00000000">
        <w:rPr>
          <w:sz w:val="24"/>
          <w:szCs w:val="24"/>
          <w:rtl w:val="0"/>
        </w:rPr>
        <w:t xml:space="preserve"> szkolenia. </w:t>
      </w:r>
    </w:p>
    <w:p w:rsidR="00000000" w:rsidDel="00000000" w:rsidP="00000000" w:rsidRDefault="00000000" w:rsidRPr="00000000" w14:paraId="00000023">
      <w:pPr>
        <w:spacing w:before="240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Przerwy kawowe są organizowane przez Wykonawcę w sali lub ewentualnie przed salą, w której odbywa się szkolenie. Wykonawca powinien uwzględniać specjalne potrzeby osób (wegetariańskie, bezglutenowe), które zostaną zgłoszone z minimum 48 h wyprzedzeniem przez Zamawiającego. Jedzenie i napoje serwowane są w naczyniach wielorazowego użytku, do ponownego wykorzystania, np. szklanych lub ceramicznych, nie jest dozwolone używanie plastikowych naczyń lub sztućców. </w:t>
        <w:br w:type="textWrapping"/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9" w:before="0" w:line="270" w:lineRule="auto"/>
        <w:ind w:left="644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Obiad dla uczestników projektu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before="240" w:lineRule="auto"/>
        <w:ind w:left="141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Usługa obejmuje dwudaniowy obiad dla uczestników szkolenia przez 2 dni (sobota-niedziela) i obejmuje: zupę i drugie danie oraz napój (w szklanych butelkach lub woda z dystrybutora wody pitnej serwowana w szklanych dzbankach).</w:t>
      </w:r>
    </w:p>
    <w:p w:rsidR="00000000" w:rsidDel="00000000" w:rsidP="00000000" w:rsidRDefault="00000000" w:rsidRPr="00000000" w14:paraId="00000026">
      <w:pPr>
        <w:spacing w:before="240" w:lineRule="auto"/>
        <w:ind w:left="141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Dopuszcza się przygotowanie posiłków specjalnych (np. bezglutenowych, bez laktozy, koszernych), w szczególności w przypadku zgłoszenia specjalnych potrzeb żywieniowych przez uczestników projektu. O zapotrzebowaniu zamawiający powiadomi wykonawcę minimum 48 h przed rozpoczęciem świadczenia usługi.</w:t>
      </w:r>
    </w:p>
    <w:p w:rsidR="00000000" w:rsidDel="00000000" w:rsidP="00000000" w:rsidRDefault="00000000" w:rsidRPr="00000000" w14:paraId="00000027">
      <w:pPr>
        <w:spacing w:before="240" w:lineRule="auto"/>
        <w:ind w:left="141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Jedzenie i napoje muszą być podawane w naczyniach wielorazowego użytku, np. szklanych, ceramicznych lub metalowych. Nie dopuszcza się stosowania naczyń i sztućców plastikowych.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9" w:before="240" w:line="270" w:lineRule="auto"/>
        <w:ind w:left="644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Kolacja dla uczestników projektu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before="240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Usługa obejmuje 2 kolacje w formie bufetu z różnorodnymi daniami. Dopuszcza się przygotowanie posiłków specjalnych (np. bezglutenowych, bez laktozy, koszernych), w szczególności w przypadku zgłoszenia specjalnych potrzeb żywieniowych przez uczestników projektu. O zapotrzebowaniu zamawiający powiadomi wykonawcę minimum 48 h przed rozpoczęciem świadczenia usługi. Wszystkie potrawy i napoje muszą być serwowane w naczyniach wielorazowego użytku (np. szklanych, ceramicznych, metalowych). Nie dopuszcza się stosowania naczyń i sztućców plastikowych. </w:t>
      </w:r>
    </w:p>
    <w:p w:rsidR="00000000" w:rsidDel="00000000" w:rsidP="00000000" w:rsidRDefault="00000000" w:rsidRPr="00000000" w14:paraId="0000002A">
      <w:pPr>
        <w:ind w:right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Menu będzie podlegało wyborowi i akceptacji przez Zamawiającego. Propozycje menu Wykonawca przedstawi Zamawiającemu do wyboru i akceptacji w terminie minimum 24 godzin przed datą rozpoczęcia Wydarzenia. Zamawiający zatwierdzi menu zaproponowane przez Wykonawcę niezwłocznie. </w:t>
      </w:r>
      <w:r w:rsidDel="00000000" w:rsidR="00000000" w:rsidRPr="00000000">
        <w:rPr>
          <w:sz w:val="24"/>
          <w:szCs w:val="24"/>
          <w:rtl w:val="0"/>
        </w:rPr>
        <w:t xml:space="preserve">Wykonawca zobowiązany jest dostarczania posiłków w godzinach wskazanych przez Zamawiającego.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0" w:lineRule="auto"/>
        <w:ind w:left="0" w:right="0" w:firstLine="0"/>
        <w:jc w:val="both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Salę szkoleniową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dla 20 os. grupy szkoleniowej </w:t>
      </w: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spełniającą normy i zasady opisane aktualnymi przepisami prawa. Przewidziany czas każdego szkolenia wynosi 20 godzin (pt – 4 godziny oraz sb-ndz 8 godz. x 2 dni). Sala musi być wyposażona w: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2" w:lineRule="auto"/>
        <w:ind w:left="644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krzesła i stoły lub krzesła z pulpitami zapewniające miejsca siedzące dla 20 os. plus prowadzący;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2" w:lineRule="auto"/>
        <w:ind w:left="644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rzutnik;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2" w:lineRule="auto"/>
        <w:ind w:left="644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warunki nagłośnienia i oświetlenia umożliwiające rejestrację audio-wideo, w tym co najmniej 1 sprawny głośnik;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2" w:lineRule="auto"/>
        <w:ind w:left="644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ekran lub tablicę multimedialną;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2" w:lineRule="auto"/>
        <w:ind w:left="644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flipchart, blok do flipcharta (min. 15 kartek do każdego flipchartu), pisaki;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2" w:lineRule="auto"/>
        <w:ind w:left="644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Sala będzie umożliwiać nieodpłatny dostęp do szybkiego i bezprzewodowego Internetu (dla wszystkich Uczestników szkolenia i prowadzącego),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7" w:before="0" w:line="282" w:lineRule="auto"/>
        <w:ind w:left="644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Sala będzie dostosowana do potrzeb osób z niepełnosprawnościami. Zamawiający będzie miał dodatkowy dostęp do Sali każdorazowo (w każdym dniu szkolenia) co najmniej na 30 minut przed rozpoczęciem szkolenia i co najmniej 30 minut po zakończeniu szkolenia, za ten czas Zamawiającemu nie przysługuje dodatkowe wynagrodzenie.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15"/>
        </w:numPr>
        <w:spacing w:after="27" w:line="282" w:lineRule="auto"/>
        <w:ind w:left="36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Dokładna liczba osób zostanie podana 2 dni przed planowanym szkoleniem. Zamawiający zapłaci za zgłoszoną liczbę osób nocujących i korzystających z wyżywienia. </w:t>
      </w:r>
    </w:p>
    <w:p w:rsidR="00000000" w:rsidDel="00000000" w:rsidP="00000000" w:rsidRDefault="00000000" w:rsidRPr="00000000" w14:paraId="00000036">
      <w:pPr>
        <w:numPr>
          <w:ilvl w:val="0"/>
          <w:numId w:val="15"/>
        </w:numPr>
        <w:spacing w:after="27" w:line="282" w:lineRule="auto"/>
        <w:ind w:left="36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Wykonawca zapewni niezbędną obsługę podczas podawania posiłków oraz serwisu kawowego.</w:t>
      </w:r>
    </w:p>
    <w:p w:rsidR="00000000" w:rsidDel="00000000" w:rsidP="00000000" w:rsidRDefault="00000000" w:rsidRPr="00000000" w14:paraId="00000037">
      <w:pPr>
        <w:numPr>
          <w:ilvl w:val="0"/>
          <w:numId w:val="15"/>
        </w:numPr>
        <w:spacing w:after="27" w:line="282" w:lineRule="auto"/>
        <w:ind w:left="36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Wykonawca świadcząc usługę wyżywienia, zobowiązany jest do: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2" w:lineRule="auto"/>
        <w:ind w:left="644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świadczenia usługi wyłącznie przy użyciu produktów spełniających normy jakości produktów spożywczych, zgodnie z obowiązującymi przepisami prawnymi w tym zakresie oraz przestrzegania przepisów prawnych w zakresie przechowywania i przygotowywania artykułów spożywczych (m.in. ustawy z dnia 25 sierpnia 2006 r. o bezpieczeństwie żywności i żywienia (Dz. U. Nr 171 poz. 1125 z późn. zm.),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7" w:before="0" w:line="282" w:lineRule="auto"/>
        <w:ind w:left="786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świadczenia usługi wyżywienia z wykorzystaniem świeżych produktów żywnościowych.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7" w:before="0" w:line="282" w:lineRule="auto"/>
        <w:ind w:left="65.99999999999994" w:right="0" w:firstLine="0"/>
        <w:jc w:val="both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Obiekt powinien zapewnić bezpłatny parking dla uczestniczek/uczestników szkolenia oraz ekspertów i organizatorów</w:t>
      </w:r>
      <w:r w:rsidDel="00000000" w:rsidR="00000000" w:rsidRPr="00000000">
        <w:rPr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12"/>
        </w:numPr>
        <w:spacing w:after="7" w:line="268" w:lineRule="auto"/>
        <w:ind w:left="0" w:right="0" w:hanging="310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Miejsce realizacji zamówienia: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240" w:before="240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Usługa musi zostać zrealizowana w mieście Grójec lub okolicy do 30 km . </w:t>
      </w:r>
    </w:p>
    <w:p w:rsidR="00000000" w:rsidDel="00000000" w:rsidP="00000000" w:rsidRDefault="00000000" w:rsidRPr="00000000" w14:paraId="0000003D">
      <w:pPr>
        <w:spacing w:after="240" w:before="240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Warunki udziału w postępowaniu oraz opis sposobu dokonywania oceny ich spełnienia: </w:t>
      </w:r>
      <w:r w:rsidDel="00000000" w:rsidR="00000000" w:rsidRPr="00000000">
        <w:rPr>
          <w:sz w:val="24"/>
          <w:szCs w:val="24"/>
          <w:rtl w:val="0"/>
        </w:rPr>
        <w:br w:type="textWrapping"/>
        <w:t xml:space="preserve">1.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O udzielenie zamówienia mogą ubiegać się Wykonawcy, którzy spełniają warunki udziału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w postępowaniu w zakresie zdolności technicznej i zawodowej, tj.:</w:t>
      </w:r>
      <w:r w:rsidDel="00000000" w:rsidR="00000000" w:rsidRPr="00000000">
        <w:rPr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2" w:lineRule="auto"/>
        <w:ind w:left="643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Zamawiający uzna ww. warunek za spełniony, jeżeli Wykonawca wykaże, że w okresie ostatnich trzech lat przed upływem terminu składania ofert (a jeżeli okres prowadzenia działalności jest krótszy – w tym okresie), wykonał należycie co najmniej dwie usługi zapewnienia noclegu, wyżywienia i sali szkoleniowej dla grupy min. 20 osobowej.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2" w:lineRule="auto"/>
        <w:ind w:left="643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celu potwierdzenia spełniania niniejszego warunku udziału w postępowaniu, wykonawcy muszą złożyć wraz z ofertą: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" w:before="0" w:line="270" w:lineRule="auto"/>
        <w:ind w:left="545" w:right="0" w:firstLine="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wykaz usług wykonanych nie wcześniej niż w okresie ostatnich 3 lat, a jeżeli okres prowadzenia działalności jest krótszy – w tym okresie, wraz z podaniem ich przedmiotu, dat wykonania i podmiotów, na rzecz których usługi te zostały wykonane; wzór wykazu stanowi załącznik nr 2 do zapytania ofertowego;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53" w:line="259" w:lineRule="auto"/>
        <w:ind w:left="545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53" w:line="259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2. Z postępowania wykluczeni są Wykonawcy powiązani z Zamawiającym osobowo lub kapitałowo</w:t>
      </w:r>
      <w:r w:rsidDel="00000000" w:rsidR="00000000" w:rsidRPr="00000000">
        <w:rPr>
          <w:sz w:val="24"/>
          <w:szCs w:val="24"/>
          <w:rtl w:val="0"/>
        </w:rPr>
        <w:t xml:space="preserve">. 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643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3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0" w:lineRule="auto"/>
        <w:ind w:left="1068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uczestniczeniu w spółce jako wspólnik spółki cywilnej lub spółki osobowej, posiadaniu co najmniej 10% udziałów lub akcji (o ile niższy próg nie wynika z przepisów prawa, pełnieniu funkcji członka organu nadzorczego lub zarządzającego, prokurenta, pełnomocnika),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3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9" w:before="0" w:line="270" w:lineRule="auto"/>
        <w:ind w:left="1068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3"/>
          <w:numId w:val="12"/>
        </w:numPr>
        <w:ind w:left="1068" w:right="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2"/>
          <w:numId w:val="12"/>
        </w:numPr>
        <w:spacing w:after="0" w:lineRule="auto"/>
        <w:ind w:left="545" w:righ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celu potwierdzenia braku powiązania osobowego lub kapitałowego z Zamawiającym, Wykonawca zobowiązany jest złożyć oświadczenie Wykonawcy o braku ww. powiązań osobowych lub kapitałowych z Zamawiającym. Oświadczenie stanowi załącznik nr 3. Wykonawcy, którzy nie przedstawią wymaganych załączników zostaną wykluczeni.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2"/>
          <w:numId w:val="12"/>
        </w:numPr>
        <w:spacing w:after="399" w:lineRule="auto"/>
        <w:ind w:left="545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Wykonawca nie może podlegać wykluczeniu z postępowania na podstawie art.7 ust. 1 Ustawy z dnia 13 kwietnia 2022 r. o szczególnych rozwiązaniach w zakresie przeciwdziałania wspieraniu agresji na Ukrainę oraz służących ochronie bezpieczeństwa narodowego,  (tj. Dz.U. 2024 r. poz. 507). Wykonawca zobowiązany jest przedłożyć wraz z ofertą wypełnione i podpisane oświadczenie o niepodleganiu wykluczeniu z postępowania na podstawie art. 7 ust. 1 ustawy, zgodnie ze wzorem stanowiącym Załącznik nr 4. Wykonawcy, którzy nie przedstawią wymaganych załączników zostaną wykluczeni.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12"/>
        </w:numPr>
        <w:spacing w:line="268" w:lineRule="auto"/>
        <w:ind w:left="0" w:right="0" w:hanging="310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Opis kryteriów, którymi Zamawiający będzie się kierował przy wyborze oferty, wraz z podaniem wag tych kryteriów i sposobu oceny oferty.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1"/>
          <w:numId w:val="12"/>
        </w:numPr>
        <w:ind w:left="142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dokona oceny ofert na podstawie niżej zdefiniowanych kryteriów i przypisanego im znaczenia (wagi). </w:t>
      </w:r>
    </w:p>
    <w:p w:rsidR="00000000" w:rsidDel="00000000" w:rsidP="00000000" w:rsidRDefault="00000000" w:rsidRPr="00000000" w14:paraId="0000004B">
      <w:pPr>
        <w:numPr>
          <w:ilvl w:val="1"/>
          <w:numId w:val="12"/>
        </w:numPr>
        <w:spacing w:after="0" w:lineRule="auto"/>
        <w:ind w:left="142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Dla dokonania oceny ofert, waga w kryteriach oceny określona w procentach, zostanie przeliczona na punkty: 1 procent odpowiada 1 punktowi. Ocenie podlegać będą oferty niepodlegające odrzuceniu.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Rule="auto"/>
        <w:ind w:left="142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4.0" w:type="dxa"/>
        <w:jc w:val="left"/>
        <w:tblInd w:w="552.0" w:type="dxa"/>
        <w:tblLayout w:type="fixed"/>
        <w:tblLook w:val="0400"/>
      </w:tblPr>
      <w:tblGrid>
        <w:gridCol w:w="989"/>
        <w:gridCol w:w="3260"/>
        <w:gridCol w:w="2544"/>
        <w:gridCol w:w="2271"/>
        <w:tblGridChange w:id="0">
          <w:tblGrid>
            <w:gridCol w:w="989"/>
            <w:gridCol w:w="3260"/>
            <w:gridCol w:w="2544"/>
            <w:gridCol w:w="2271"/>
          </w:tblGrid>
        </w:tblGridChange>
      </w:tblGrid>
      <w:tr>
        <w:trPr>
          <w:cantSplit w:val="0"/>
          <w:trHeight w:val="6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spacing w:after="0" w:line="259" w:lineRule="auto"/>
              <w:ind w:left="5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L.p.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Kryterium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after="0" w:line="259" w:lineRule="auto"/>
              <w:ind w:left="2" w:right="46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Znaczenie kryterium w %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Liczba możliwych do uzyskania punktów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Cena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70%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70 pkt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Aspekty społeczne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10%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10 pkt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spacing w:after="0" w:line="259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Dostępność obiektu i lokalizacja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spacing w:after="0" w:line="259" w:lineRule="auto"/>
              <w:ind w:left="0" w:right="0" w:firstLine="0"/>
              <w:jc w:val="left"/>
              <w:rPr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20%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spacing w:after="0" w:line="259" w:lineRule="auto"/>
              <w:ind w:left="0" w:right="0" w:firstLine="0"/>
              <w:jc w:val="left"/>
              <w:rPr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20 pkt</w:t>
            </w:r>
          </w:p>
        </w:tc>
      </w:tr>
    </w:tbl>
    <w:p w:rsidR="00000000" w:rsidDel="00000000" w:rsidP="00000000" w:rsidRDefault="00000000" w:rsidRPr="00000000" w14:paraId="0000005D">
      <w:pPr>
        <w:pStyle w:val="Heading1"/>
        <w:spacing w:after="56" w:lineRule="auto"/>
        <w:ind w:left="625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Sposób obliczenia punktów w kryterium nr 1: Cena – waga 70% </w:t>
      </w:r>
    </w:p>
    <w:p w:rsidR="00000000" w:rsidDel="00000000" w:rsidP="00000000" w:rsidRDefault="00000000" w:rsidRPr="00000000" w14:paraId="0000005E">
      <w:pPr>
        <w:spacing w:after="63" w:lineRule="auto"/>
        <w:ind w:left="903" w:right="0" w:firstLine="545.000000000000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3.1. W kryterium cena należy uwzględnić cenę w przeliczeniu na jedną osobę.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ind w:left="1253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3.2. W kryterium cena zostanie zbadana wysokość ceny brutto oferty, tj. ceny brutto za całą realizację zamówienia - cena składa się z sumy podanych w formularzu oferty cen (załącznik nr 1) za: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3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0" w:lineRule="auto"/>
        <w:ind w:left="1613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Usługę noclegową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3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0" w:lineRule="auto"/>
        <w:ind w:left="1613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Przerwę kawową ciągłą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3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0" w:lineRule="auto"/>
        <w:ind w:left="1613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Obiady dla uczestników projektu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3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0" w:lineRule="auto"/>
        <w:ind w:left="1613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Kolacje dla uczestników projektu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3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9" w:before="0" w:line="270" w:lineRule="auto"/>
        <w:ind w:left="1613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Salę szkoleniową dla 20 os. grupy szkoleniowej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ind w:left="1253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Cena brutto musi zawierać podatek VAT, zgodnie z obowiązującymi przepisami, w przypadku podmiotów zagranicznych również podatek od importu usług.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10" w:lineRule="auto"/>
        <w:ind w:left="1253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3.3. Oferta z najniższą ceną brutto, tj. najniższą ceną brutto otrzyma 70 pkt, pozostałe oferty zostaną ocenione z dokładnością do dwóch miejsc po przecinku, według następującego wzoru:  </w:t>
        <w:br w:type="textWrapping"/>
        <w:br w:type="textWrapping"/>
        <w:t xml:space="preserve">Liczba punktów w kryterium cena = (Cena najniższa spośród ofert / Cena badanej oferty) × 70</w:t>
      </w:r>
    </w:p>
    <w:p w:rsidR="00000000" w:rsidDel="00000000" w:rsidP="00000000" w:rsidRDefault="00000000" w:rsidRPr="00000000" w14:paraId="00000067">
      <w:pPr>
        <w:spacing w:after="55" w:line="259" w:lineRule="auto"/>
        <w:ind w:left="548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gdzie:</w:t>
      </w:r>
    </w:p>
    <w:p w:rsidR="00000000" w:rsidDel="00000000" w:rsidP="00000000" w:rsidRDefault="00000000" w:rsidRPr="00000000" w14:paraId="00000068">
      <w:pPr>
        <w:numPr>
          <w:ilvl w:val="0"/>
          <w:numId w:val="34"/>
        </w:numPr>
        <w:spacing w:after="55" w:line="259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Cena najniższa spośród ofert</w:t>
      </w:r>
      <w:r w:rsidDel="00000000" w:rsidR="00000000" w:rsidRPr="00000000">
        <w:rPr>
          <w:sz w:val="24"/>
          <w:szCs w:val="24"/>
          <w:rtl w:val="0"/>
        </w:rPr>
        <w:t xml:space="preserve"> – najniższa cena brutto spośród wszystkich ważnych ofert złożonych w postępowaniu.</w:t>
      </w:r>
    </w:p>
    <w:p w:rsidR="00000000" w:rsidDel="00000000" w:rsidP="00000000" w:rsidRDefault="00000000" w:rsidRPr="00000000" w14:paraId="00000069">
      <w:pPr>
        <w:numPr>
          <w:ilvl w:val="0"/>
          <w:numId w:val="34"/>
        </w:numPr>
        <w:spacing w:after="55" w:line="259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Cena badanej oferty</w:t>
      </w:r>
      <w:r w:rsidDel="00000000" w:rsidR="00000000" w:rsidRPr="00000000">
        <w:rPr>
          <w:sz w:val="24"/>
          <w:szCs w:val="24"/>
          <w:rtl w:val="0"/>
        </w:rPr>
        <w:t xml:space="preserve"> – cena brutto oferty, której punktacja jest obliczana.</w:t>
      </w:r>
    </w:p>
    <w:p w:rsidR="00000000" w:rsidDel="00000000" w:rsidP="00000000" w:rsidRDefault="00000000" w:rsidRPr="00000000" w14:paraId="0000006A">
      <w:pPr>
        <w:numPr>
          <w:ilvl w:val="0"/>
          <w:numId w:val="34"/>
        </w:numPr>
        <w:spacing w:after="55" w:line="259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70</w:t>
      </w:r>
      <w:r w:rsidDel="00000000" w:rsidR="00000000" w:rsidRPr="00000000">
        <w:rPr>
          <w:sz w:val="24"/>
          <w:szCs w:val="24"/>
          <w:rtl w:val="0"/>
        </w:rPr>
        <w:t xml:space="preserve"> – to maksymalna liczba punktów możliwa do uzyskania w tym kryterium (czyli 70% z 100 punktów).</w:t>
      </w:r>
    </w:p>
    <w:p w:rsidR="00000000" w:rsidDel="00000000" w:rsidP="00000000" w:rsidRDefault="00000000" w:rsidRPr="00000000" w14:paraId="0000006B">
      <w:pPr>
        <w:spacing w:after="55" w:line="259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4. Sposób obliczenia punktów w kryterium nr 2: Aspekty społeczne – waga 10% 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 tym kryterium zamawiający przyzna punkty, jeśli Wykonawca zapewni, że do bezpośredniego udziału w wykonywaniu przedmiotu zamówienia zostanie zatrudniona/zaangażowana co najmniej 1 osoba znajdująca się̨ w szczególnej sytuacji na rynku pracy (tj. m.in. osoby młodociane, osoby z niepełnosprawnościami, osoby bezrobotne). </w:t>
      </w:r>
    </w:p>
    <w:p w:rsidR="00000000" w:rsidDel="00000000" w:rsidP="00000000" w:rsidRDefault="00000000" w:rsidRPr="00000000" w14:paraId="0000006C">
      <w:pPr>
        <w:spacing w:after="240" w:before="240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Sposób obliczania punktów dla kryterium nr. 3 -  Dostępność obiektu i lokalizacja - waga 20%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Kryterium dotyczy odległości obiektu hotelowego (noclegowego) od centrum miasta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Grójec (</w:t>
      </w:r>
      <w:hyperlink r:id="rId7">
        <w:r w:rsidDel="00000000" w:rsidR="00000000" w:rsidRPr="00000000">
          <w:rPr>
            <w:b w:val="1"/>
            <w:bCs w:val="1"/>
            <w:sz w:val="24"/>
            <w:szCs w:val="24"/>
            <w:highlight w:val="white"/>
            <w:rtl w:val="0"/>
          </w:rPr>
          <w:t xml:space="preserve">plac Wolności 10, 05-600 Grójec</w:t>
        </w:r>
      </w:hyperlink>
      <w:r w:rsidDel="00000000" w:rsidR="00000000" w:rsidRPr="00000000">
        <w:rPr>
          <w:b w:val="1"/>
          <w:bCs w:val="1"/>
          <w:sz w:val="24"/>
          <w:szCs w:val="24"/>
          <w:highlight w:val="white"/>
          <w:rtl w:val="0"/>
        </w:rPr>
        <w:t xml:space="preserve">)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, liczonej w kilometrach wzdłuż najkrótszej trasy drogowej (według mapy Google lub innego ogólnodostępnego narzędzia).</w:t>
        <w:br w:type="textWrapping"/>
        <w:br w:type="textWrapping"/>
        <w:t xml:space="preserve">Punkty będą przyznawane następująco:</w:t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spacing w:after="0" w:before="240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Odległość do 10 km</w:t>
      </w:r>
      <w:r w:rsidDel="00000000" w:rsidR="00000000" w:rsidRPr="00000000">
        <w:rPr>
          <w:sz w:val="24"/>
          <w:szCs w:val="24"/>
          <w:rtl w:val="0"/>
        </w:rPr>
        <w:t xml:space="preserve"> – 20 pkt,</w:t>
      </w:r>
    </w:p>
    <w:p w:rsidR="00000000" w:rsidDel="00000000" w:rsidP="00000000" w:rsidRDefault="00000000" w:rsidRPr="00000000" w14:paraId="0000006E">
      <w:pPr>
        <w:numPr>
          <w:ilvl w:val="0"/>
          <w:numId w:val="1"/>
        </w:numPr>
        <w:spacing w:after="0" w:before="0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Odległość powyżej 10 km do 25 km</w:t>
      </w:r>
      <w:r w:rsidDel="00000000" w:rsidR="00000000" w:rsidRPr="00000000">
        <w:rPr>
          <w:sz w:val="24"/>
          <w:szCs w:val="24"/>
          <w:rtl w:val="0"/>
        </w:rPr>
        <w:t xml:space="preserve"> – 10 pkt,</w:t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spacing w:after="240" w:before="0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Odległość powyżej 25 km</w:t>
      </w:r>
      <w:r w:rsidDel="00000000" w:rsidR="00000000" w:rsidRPr="00000000">
        <w:rPr>
          <w:sz w:val="24"/>
          <w:szCs w:val="24"/>
          <w:rtl w:val="0"/>
        </w:rPr>
        <w:t xml:space="preserve"> – 0 pk</w:t>
      </w:r>
    </w:p>
    <w:p w:rsidR="00000000" w:rsidDel="00000000" w:rsidP="00000000" w:rsidRDefault="00000000" w:rsidRPr="00000000" w14:paraId="00000070">
      <w:pPr>
        <w:spacing w:after="240" w:befor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Każdej ofercie przypisywana jest liczba punktów w zależności od zmierzonej odległości hotelu od centrum miasta, zgodnie z powyższą skalą (0–20 pkt). </w:t>
        <w:br w:type="textWrapping"/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W celu prawidłowego obliczenia punktów Wykonawca jest zobowiązany wskazać dokładny adres miejsca świadczenia usługi (załącznik 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numPr>
          <w:ilvl w:val="1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0" w:lineRule="auto"/>
        <w:ind w:left="643" w:right="0" w:hanging="360"/>
        <w:jc w:val="both"/>
        <w:rPr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Ocena zostanie dokonana na podstawie oświadczenia Wykonawcy w przedmiocie spełnienia klauzuli społecznej integralną część formularza oferty.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1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0" w:lineRule="auto"/>
        <w:ind w:left="643" w:right="0" w:hanging="360"/>
        <w:jc w:val="both"/>
        <w:rPr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Oferta, która będzie spełniała kryterium, otrzyma 10 pkt.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numPr>
          <w:ilvl w:val="1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9" w:before="0" w:line="270" w:lineRule="auto"/>
        <w:ind w:left="643" w:right="0" w:hanging="360"/>
        <w:jc w:val="both"/>
        <w:rPr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Oferta, która nie będzie spełniała kryterium, otrzyma 0 pkt.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numPr>
          <w:ilvl w:val="0"/>
          <w:numId w:val="19"/>
        </w:numPr>
        <w:ind w:left="36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Liczba punktów w poszczególnych kryteriach, o których mowa w pkt 2, po zsumowaniu, stanowić będzie końcową ocenę oferty. </w:t>
      </w:r>
    </w:p>
    <w:p w:rsidR="00000000" w:rsidDel="00000000" w:rsidP="00000000" w:rsidRDefault="00000000" w:rsidRPr="00000000" w14:paraId="00000075">
      <w:pPr>
        <w:numPr>
          <w:ilvl w:val="0"/>
          <w:numId w:val="19"/>
        </w:numPr>
        <w:ind w:left="36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 najkorzystniejszą zostanie uznana oferta z największą liczbą punktów, tj. przedstawiająca najkorzystniejszy bilans kryteriów oceny ofert. </w:t>
      </w:r>
    </w:p>
    <w:p w:rsidR="00000000" w:rsidDel="00000000" w:rsidP="00000000" w:rsidRDefault="00000000" w:rsidRPr="00000000" w14:paraId="00000076">
      <w:pPr>
        <w:numPr>
          <w:ilvl w:val="0"/>
          <w:numId w:val="19"/>
        </w:numPr>
        <w:ind w:left="36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Jeżeli nie można wybrać najkorzystniejszej oferty z uwagi na to, że dwie lub więcej ofert przedstawia taki sam bilans ceny i innych kryteriów oceny ofert, Zamawiający spośród tych ofert wybiera ofertę z najniższą ceną, a jeżeli zostały złożone oferty o takiej samej cenie, Zamawiający wzywa Wykonawców, którzy złożyli te oferty, do złożenia w terminie określonym przez zamawiającego ofert dodatkowych.  </w:t>
      </w:r>
    </w:p>
    <w:p w:rsidR="00000000" w:rsidDel="00000000" w:rsidP="00000000" w:rsidRDefault="00000000" w:rsidRPr="00000000" w14:paraId="00000077">
      <w:pPr>
        <w:numPr>
          <w:ilvl w:val="0"/>
          <w:numId w:val="19"/>
        </w:numPr>
        <w:ind w:left="36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zastrzega sobie prawo do weryfikacji informacji zawartych w załącznikach do zapytania ofertowego. </w:t>
      </w:r>
    </w:p>
    <w:p w:rsidR="00000000" w:rsidDel="00000000" w:rsidP="00000000" w:rsidRDefault="00000000" w:rsidRPr="00000000" w14:paraId="00000078">
      <w:pPr>
        <w:numPr>
          <w:ilvl w:val="0"/>
          <w:numId w:val="19"/>
        </w:numPr>
        <w:ind w:left="36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toku badania i oceny ofert Zamawiający może żądać od Wykonawców wyjaśnień dotyczących treści złożonych ofert. </w:t>
      </w:r>
    </w:p>
    <w:p w:rsidR="00000000" w:rsidDel="00000000" w:rsidP="00000000" w:rsidRDefault="00000000" w:rsidRPr="00000000" w14:paraId="00000079">
      <w:pPr>
        <w:numPr>
          <w:ilvl w:val="0"/>
          <w:numId w:val="19"/>
        </w:numPr>
        <w:ind w:left="36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poprawi w ofertach: oczywiste omyłki pisarskie i oczywiste omyłki rachunkowe. </w:t>
      </w:r>
    </w:p>
    <w:p w:rsidR="00000000" w:rsidDel="00000000" w:rsidP="00000000" w:rsidRDefault="00000000" w:rsidRPr="00000000" w14:paraId="0000007A">
      <w:pPr>
        <w:numPr>
          <w:ilvl w:val="0"/>
          <w:numId w:val="19"/>
        </w:numPr>
        <w:spacing w:after="400" w:lineRule="auto"/>
        <w:ind w:left="36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Jeżeli zaoferowana cena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ceny. Zamawiający ocenia te wyjaśnienia w konsultacji z wykonawcą i może odrzucić tę ofertę wyłącznie w przypadku, gdy złożone wyjaśnienia wraz z dowodami nie uzasadniają podanej ceny w tej ofercie. </w:t>
      </w:r>
    </w:p>
    <w:p w:rsidR="00000000" w:rsidDel="00000000" w:rsidP="00000000" w:rsidRDefault="00000000" w:rsidRPr="00000000" w14:paraId="0000007B">
      <w:pPr>
        <w:pStyle w:val="Heading1"/>
        <w:spacing w:after="45" w:lineRule="auto"/>
        <w:ind w:left="247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VII. Termin, miejsce składania i otwarcia ofert </w:t>
      </w:r>
    </w:p>
    <w:p w:rsidR="00000000" w:rsidDel="00000000" w:rsidP="00000000" w:rsidRDefault="00000000" w:rsidRPr="00000000" w14:paraId="0000007C">
      <w:pPr>
        <w:numPr>
          <w:ilvl w:val="0"/>
          <w:numId w:val="5"/>
        </w:numPr>
        <w:ind w:left="72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Oferty należy składać do dnia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10 grudnia 2025 </w:t>
      </w:r>
      <w:r w:rsidDel="00000000" w:rsidR="00000000" w:rsidRPr="00000000">
        <w:rPr>
          <w:sz w:val="24"/>
          <w:szCs w:val="24"/>
          <w:rtl w:val="0"/>
        </w:rPr>
        <w:t xml:space="preserve"> roku do końca dnia </w:t>
      </w:r>
    </w:p>
    <w:p w:rsidR="00000000" w:rsidDel="00000000" w:rsidP="00000000" w:rsidRDefault="00000000" w:rsidRPr="00000000" w14:paraId="0000007D">
      <w:pPr>
        <w:numPr>
          <w:ilvl w:val="0"/>
          <w:numId w:val="5"/>
        </w:numPr>
        <w:spacing w:after="44" w:line="268" w:lineRule="auto"/>
        <w:ind w:left="72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Otwarcie ofert nastąpi w dniu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11 grudnia 2025</w:t>
      </w:r>
      <w:r w:rsidDel="00000000" w:rsidR="00000000" w:rsidRPr="00000000">
        <w:rPr>
          <w:sz w:val="24"/>
          <w:szCs w:val="24"/>
          <w:rtl w:val="0"/>
        </w:rPr>
        <w:t xml:space="preserve"> roku o godzinie 8:30. </w:t>
      </w:r>
    </w:p>
    <w:p w:rsidR="00000000" w:rsidDel="00000000" w:rsidP="00000000" w:rsidRDefault="00000000" w:rsidRPr="00000000" w14:paraId="0000007E">
      <w:pPr>
        <w:numPr>
          <w:ilvl w:val="0"/>
          <w:numId w:val="5"/>
        </w:numPr>
        <w:ind w:left="72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Ofertę należy przesłać za pośrednictwem Bazy Konkurencyjności 2021 (aplikacja BK2021), </w:t>
      </w:r>
      <w:hyperlink r:id="rId8">
        <w:r w:rsidDel="00000000" w:rsidR="00000000" w:rsidRPr="00000000">
          <w:rPr>
            <w:color w:val="0000ff"/>
            <w:sz w:val="24"/>
            <w:szCs w:val="24"/>
            <w:u w:val="single"/>
            <w:rtl w:val="0"/>
          </w:rPr>
          <w:t xml:space="preserve">https://bazakonkurencyjnosci.funduszeeuropejskie.gov.pl.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7F">
      <w:pPr>
        <w:numPr>
          <w:ilvl w:val="0"/>
          <w:numId w:val="5"/>
        </w:numPr>
        <w:ind w:left="72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Oferty złożone po terminie nie będą rozpatrywane. </w:t>
      </w:r>
    </w:p>
    <w:p w:rsidR="00000000" w:rsidDel="00000000" w:rsidP="00000000" w:rsidRDefault="00000000" w:rsidRPr="00000000" w14:paraId="00000080">
      <w:pPr>
        <w:numPr>
          <w:ilvl w:val="0"/>
          <w:numId w:val="5"/>
        </w:numPr>
        <w:ind w:left="72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Wykonawca może przed upływem terminu składania ofert zmienić lub wycofać swoją ofertę. </w:t>
      </w:r>
    </w:p>
    <w:p w:rsidR="00000000" w:rsidDel="00000000" w:rsidP="00000000" w:rsidRDefault="00000000" w:rsidRPr="00000000" w14:paraId="00000081">
      <w:pPr>
        <w:numPr>
          <w:ilvl w:val="0"/>
          <w:numId w:val="5"/>
        </w:numPr>
        <w:ind w:left="72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Oferty niekompletne lub zawierające błędy nie będą rozpatrywane. </w:t>
      </w:r>
    </w:p>
    <w:p w:rsidR="00000000" w:rsidDel="00000000" w:rsidP="00000000" w:rsidRDefault="00000000" w:rsidRPr="00000000" w14:paraId="00000082">
      <w:pPr>
        <w:numPr>
          <w:ilvl w:val="0"/>
          <w:numId w:val="5"/>
        </w:numPr>
        <w:spacing w:after="9" w:line="268" w:lineRule="auto"/>
        <w:ind w:left="720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Opis sposobu przygotowania oferty: 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8" w:lineRule="auto"/>
        <w:ind w:left="1080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Oferta powinna być sporządzona wg wzoru stanowiącego Załącznik nr 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8" w:lineRule="auto"/>
        <w:ind w:left="1080" w:right="0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oferty należy załączyć: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8" w:lineRule="auto"/>
        <w:ind w:left="720" w:right="0" w:hanging="360"/>
        <w:jc w:val="both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oświadczenie o braku powiązań osobowych lub kapitałowych Wykonawcy z Zamawiającym,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8" w:lineRule="auto"/>
        <w:ind w:left="720" w:right="0" w:hanging="360"/>
        <w:jc w:val="both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Wykaz usług potwierdzający spełnianie warunku doświadczenia zawodowego;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8" w:lineRule="auto"/>
        <w:ind w:left="720" w:right="0" w:hanging="360"/>
        <w:jc w:val="both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Oświadczenie o niepodleganiu wykluczeniu z postępowania na podstawie art.7 ust. 1 Ustawy z dnia 13 kwietnia 2022 r. o szczególnych rozwiązaniach w zakresie przeciwdziałania wspieraniu agresji na Ukrainę oraz służących ochronie bezpieczeństwa narodowego, (tj. Dz.U. 2024 r. poz. 507). 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8" w:lineRule="auto"/>
        <w:ind w:left="720" w:right="0" w:hanging="360"/>
        <w:jc w:val="both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Oferta wraz z załącznikami musi być podpisana przez osobę/osoby do tego upoważnione;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8" w:lineRule="auto"/>
        <w:ind w:left="720" w:right="0" w:hanging="360"/>
        <w:jc w:val="both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może złożyć tylko jedną ofertę w postępowaniu. Złożenie większej liczby ofert lub oferty zawierającej alternatywę spowoduje odrzucenie wszystkich ofert złożonych przez danego Oferenta; 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8" w:lineRule="auto"/>
        <w:ind w:left="720" w:right="0" w:hanging="360"/>
        <w:jc w:val="both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Nie dopuszcza się składania ofert częściowych lub ofert wariantowych;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8" w:lineRule="auto"/>
        <w:ind w:left="720" w:right="0" w:hanging="360"/>
        <w:jc w:val="both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Wykonawca ponosi wszelkie koszty własne związane z przygotowaniem i złożeniem oferty, niezależnie od wyniku postępowania. Zamawiający nie odpowiada za koszty poniesione przez Wykonawcę w związku z przygotowaniem i złożeniem oferty. 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8" w:lineRule="auto"/>
        <w:ind w:left="720" w:right="0" w:hanging="360"/>
        <w:jc w:val="both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Informacja o wyniku postępowania zostanie opublikowana na Bazie Konkurencyjności 2021  (aplikacja BK2021) </w:t>
      </w:r>
      <w:hyperlink r:id="rId9">
        <w:r w:rsidDel="00000000" w:rsidR="00000000" w:rsidRPr="00000000">
          <w:rPr>
            <w:i w:val="0"/>
            <w:iCs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https://bazakonkurencyjnosci.funduszeeuropejskie.gov.pl</w:t>
        </w:r>
      </w:hyperlink>
      <w:hyperlink r:id="rId10">
        <w:r w:rsidDel="00000000" w:rsidR="00000000" w:rsidRPr="00000000">
          <w:rPr>
            <w:i w:val="0"/>
            <w:iCs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7" w:line="268" w:lineRule="auto"/>
        <w:ind w:left="132" w:right="0" w:firstLine="0"/>
        <w:jc w:val="left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7" w:line="268" w:lineRule="auto"/>
        <w:ind w:left="132" w:right="0" w:firstLine="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VIII. Termin związania ofertą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400" w:lineRule="auto"/>
        <w:ind w:right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Okres związania z ofertą wynosi 14 dni od dnia upływu terminu składania ofert. </w:t>
      </w:r>
    </w:p>
    <w:p w:rsidR="00000000" w:rsidDel="00000000" w:rsidP="00000000" w:rsidRDefault="00000000" w:rsidRPr="00000000" w14:paraId="00000090">
      <w:pPr>
        <w:pStyle w:val="Heading1"/>
        <w:spacing w:after="45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IX. Istotne zmiany w umowie </w:t>
      </w:r>
    </w:p>
    <w:p w:rsidR="00000000" w:rsidDel="00000000" w:rsidP="00000000" w:rsidRDefault="00000000" w:rsidRPr="00000000" w14:paraId="00000091">
      <w:pPr>
        <w:numPr>
          <w:ilvl w:val="0"/>
          <w:numId w:val="6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Termin wykonania usługi jest terminem wstępnym i może ulec zmianie. </w:t>
      </w:r>
    </w:p>
    <w:p w:rsidR="00000000" w:rsidDel="00000000" w:rsidP="00000000" w:rsidRDefault="00000000" w:rsidRPr="00000000" w14:paraId="00000092">
      <w:pPr>
        <w:numPr>
          <w:ilvl w:val="0"/>
          <w:numId w:val="6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poniższych przypadkach umowa może zostać rozwiązana: </w:t>
      </w:r>
    </w:p>
    <w:p w:rsidR="00000000" w:rsidDel="00000000" w:rsidP="00000000" w:rsidRDefault="00000000" w:rsidRPr="00000000" w14:paraId="00000093">
      <w:pPr>
        <w:numPr>
          <w:ilvl w:val="0"/>
          <w:numId w:val="7"/>
        </w:numPr>
        <w:ind w:left="1253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zaistnienia istotnej zmiany okoliczności powodującej, że wykonanie umowy nie leży w interesie publicznym, czego nie można było przewidzieć w chwili zawarcia umowy, lub </w:t>
      </w:r>
    </w:p>
    <w:p w:rsidR="00000000" w:rsidDel="00000000" w:rsidP="00000000" w:rsidRDefault="00000000" w:rsidRPr="00000000" w14:paraId="00000094">
      <w:pPr>
        <w:numPr>
          <w:ilvl w:val="0"/>
          <w:numId w:val="7"/>
        </w:numPr>
        <w:ind w:left="1253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Zleceniodawca nie zrekrutuje minimalnej liczby osób do udziału w szkoleniu, tj. 15 osób,  </w:t>
      </w:r>
    </w:p>
    <w:p w:rsidR="00000000" w:rsidDel="00000000" w:rsidP="00000000" w:rsidRDefault="00000000" w:rsidRPr="00000000" w14:paraId="00000095">
      <w:pPr>
        <w:numPr>
          <w:ilvl w:val="0"/>
          <w:numId w:val="9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zastrzega sobie prawo do zmiany terminów realizacji szkoleń z przyczyn organizacyjnych, niezależnych od Zamawiającego lub uczestników projektu, w szczególności w przypadku siły wyższej, niedostępności prelegentów, zmian lokalizacji lub terminów dogodnych dla uczestników. Zamawiający poinformuje wykonawcę najpóźniej w terminie 3 dni o rezygnacji z organizacji wydarzenia w danym terminie.</w:t>
      </w:r>
    </w:p>
    <w:p w:rsidR="00000000" w:rsidDel="00000000" w:rsidP="00000000" w:rsidRDefault="00000000" w:rsidRPr="00000000" w14:paraId="00000096">
      <w:pPr>
        <w:numPr>
          <w:ilvl w:val="0"/>
          <w:numId w:val="9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Nowe terminy zostaną uzgodnione z Wykonawcą, a zmiana nie będzie traktowana jako istotna zmiana warunków zamówienia.</w:t>
      </w:r>
    </w:p>
    <w:p w:rsidR="00000000" w:rsidDel="00000000" w:rsidP="00000000" w:rsidRDefault="00000000" w:rsidRPr="00000000" w14:paraId="00000097">
      <w:pPr>
        <w:numPr>
          <w:ilvl w:val="0"/>
          <w:numId w:val="9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Zleceniodawca może odstąpić od umowy w terminie 30 dni od powzięcia wiadomości o tych okolicznościach. </w:t>
      </w:r>
    </w:p>
    <w:p w:rsidR="00000000" w:rsidDel="00000000" w:rsidP="00000000" w:rsidRDefault="00000000" w:rsidRPr="00000000" w14:paraId="00000098">
      <w:pPr>
        <w:numPr>
          <w:ilvl w:val="0"/>
          <w:numId w:val="9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takim przypadku Zleceniobiorca nie może żądać wynagrodzenia. </w:t>
      </w:r>
    </w:p>
    <w:p w:rsidR="00000000" w:rsidDel="00000000" w:rsidP="00000000" w:rsidRDefault="00000000" w:rsidRPr="00000000" w14:paraId="00000099">
      <w:pPr>
        <w:numPr>
          <w:ilvl w:val="0"/>
          <w:numId w:val="9"/>
        </w:numPr>
        <w:spacing w:after="399" w:lineRule="auto"/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Odstąpienie od umowy następuje w formie pisemnej pod rygorem nieważności takiego oświadczenia i musi zawierać uzasadnienie.  </w:t>
      </w:r>
    </w:p>
    <w:p w:rsidR="00000000" w:rsidDel="00000000" w:rsidP="00000000" w:rsidRDefault="00000000" w:rsidRPr="00000000" w14:paraId="0000009A">
      <w:pPr>
        <w:pStyle w:val="Heading1"/>
        <w:spacing w:after="43" w:lineRule="auto"/>
        <w:ind w:left="2407" w:right="0" w:firstLine="473.0000000000001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X. Pozostałe postanowienia </w:t>
      </w:r>
    </w:p>
    <w:p w:rsidR="00000000" w:rsidDel="00000000" w:rsidP="00000000" w:rsidRDefault="00000000" w:rsidRPr="00000000" w14:paraId="0000009B">
      <w:pPr>
        <w:numPr>
          <w:ilvl w:val="0"/>
          <w:numId w:val="10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przypadku unieważnienia niniejszego postępowania Wykonawcy nie przysługują żadne roszczenia wobec Zamawiającego z jakiegokolwiek tytułu związanego z realizacją niniejszego postępowania, za wyjątkiem odszkodowania za szkody wyrządzone umyślnie. Od wyniku niniejszego postępowania Wykonawcy nie przysługują środki odwoławcze. </w:t>
      </w:r>
    </w:p>
    <w:p w:rsidR="00000000" w:rsidDel="00000000" w:rsidP="00000000" w:rsidRDefault="00000000" w:rsidRPr="00000000" w14:paraId="0000009C">
      <w:pPr>
        <w:numPr>
          <w:ilvl w:val="0"/>
          <w:numId w:val="10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zastrzega prawo unieważnienia niniejszego postępowania bez podania przyczyny. O unieważnieniu postępowania Zamawiający niezwłocznie zawiadomi wszystkich Wykonawców, którym przesłano Zapytanie ofertowe oraz umieści odpowiednią informację na swojej stronie internetowej oraz w Bazie Konkurencyjności 2021 (aplikacja BK2021) </w:t>
      </w:r>
      <w:hyperlink r:id="rId11">
        <w:r w:rsidDel="00000000" w:rsidR="00000000" w:rsidRPr="00000000">
          <w:rPr>
            <w:color w:val="0000ff"/>
            <w:sz w:val="24"/>
            <w:szCs w:val="24"/>
            <w:u w:val="single"/>
            <w:rtl w:val="0"/>
          </w:rPr>
          <w:t xml:space="preserve">https://bazakonkurencyjnosci.funduszeeuropejskie.gov.pl.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9D">
      <w:pPr>
        <w:numPr>
          <w:ilvl w:val="0"/>
          <w:numId w:val="10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powiadomi Wykonawcę, któremu udzieli zamówienia o terminie i miejscu zawarcia umowy, telefonicznie lub drogą elektroniczną. </w:t>
      </w:r>
    </w:p>
    <w:p w:rsidR="00000000" w:rsidDel="00000000" w:rsidP="00000000" w:rsidRDefault="00000000" w:rsidRPr="00000000" w14:paraId="0000009E">
      <w:pPr>
        <w:numPr>
          <w:ilvl w:val="0"/>
          <w:numId w:val="10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Przed podpisaniem umowy Zamawiający zastrzega sobie prawo żądania dokumentów potwierdzających spełnianie kryteriów oceny oferty zamówienia przez Wykonawcę (umowy, referencje itp.). </w:t>
      </w:r>
    </w:p>
    <w:p w:rsidR="00000000" w:rsidDel="00000000" w:rsidP="00000000" w:rsidRDefault="00000000" w:rsidRPr="00000000" w14:paraId="0000009F">
      <w:pPr>
        <w:numPr>
          <w:ilvl w:val="0"/>
          <w:numId w:val="10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zawrze z wybranym Wykonawcą odrębną umowę dotyczącą przetwarzania danych osobowych. </w:t>
      </w:r>
    </w:p>
    <w:p w:rsidR="00000000" w:rsidDel="00000000" w:rsidP="00000000" w:rsidRDefault="00000000" w:rsidRPr="00000000" w14:paraId="000000A0">
      <w:pPr>
        <w:numPr>
          <w:ilvl w:val="0"/>
          <w:numId w:val="10"/>
        </w:numPr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Wykonawca, którego propozycja usługi zostanie oceniona jako najkorzystniejsza, zobowiązuje się do podpisania umowy z Zamawiającym. </w:t>
      </w:r>
    </w:p>
    <w:p w:rsidR="00000000" w:rsidDel="00000000" w:rsidP="00000000" w:rsidRDefault="00000000" w:rsidRPr="00000000" w14:paraId="000000A1">
      <w:pPr>
        <w:numPr>
          <w:ilvl w:val="0"/>
          <w:numId w:val="10"/>
        </w:numPr>
        <w:spacing w:after="6" w:lineRule="auto"/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zastrzega prawo wezwania Wykonawców do złożenia dodatkowych wyjaśnień lub uzupełnień. </w:t>
      </w:r>
    </w:p>
    <w:p w:rsidR="00000000" w:rsidDel="00000000" w:rsidP="00000000" w:rsidRDefault="00000000" w:rsidRPr="00000000" w14:paraId="000000A2">
      <w:pPr>
        <w:numPr>
          <w:ilvl w:val="0"/>
          <w:numId w:val="10"/>
        </w:numPr>
        <w:spacing w:after="6" w:lineRule="auto"/>
        <w:ind w:left="975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Zamawiający zastrzega prawo unieważnienia postępowania bez podania przyczyny, w szczególności w przypadku braku ofert, odrzucenia wszystkich ofert lub przekroczenia budżetu przewidzianego na realizację zamówienia.</w:t>
      </w:r>
      <w:r w:rsidDel="00000000" w:rsidR="00000000" w:rsidRPr="00000000">
        <w:rPr>
          <w:rFonts w:ascii="Cambria" w:cs="Cambria" w:eastAsia="Cambria" w:hAnsi="Cambria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19" w:line="259" w:lineRule="auto"/>
        <w:ind w:left="545" w:right="0" w:firstLine="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Załączniki: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numPr>
          <w:ilvl w:val="1"/>
          <w:numId w:val="10"/>
        </w:numPr>
        <w:spacing w:after="44" w:line="268" w:lineRule="auto"/>
        <w:ind w:left="1253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Załącznik nr 1 – Formularz ofertowy </w:t>
      </w:r>
    </w:p>
    <w:p w:rsidR="00000000" w:rsidDel="00000000" w:rsidP="00000000" w:rsidRDefault="00000000" w:rsidRPr="00000000" w14:paraId="000000A5">
      <w:pPr>
        <w:numPr>
          <w:ilvl w:val="1"/>
          <w:numId w:val="10"/>
        </w:numPr>
        <w:ind w:left="1253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Załącznik nr 2 – Wykaz usług potwierdzający spełnianie warunku doświadczenia zawodowego </w:t>
      </w:r>
    </w:p>
    <w:p w:rsidR="00000000" w:rsidDel="00000000" w:rsidP="00000000" w:rsidRDefault="00000000" w:rsidRPr="00000000" w14:paraId="000000A6">
      <w:pPr>
        <w:numPr>
          <w:ilvl w:val="1"/>
          <w:numId w:val="10"/>
        </w:numPr>
        <w:ind w:left="1253" w:right="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Załącznik nr 3 – Oświadczenie o braku powiązań osobowych lub kapitałowych Wykonawcy z Zamawiającym</w:t>
      </w:r>
    </w:p>
    <w:p w:rsidR="00000000" w:rsidDel="00000000" w:rsidP="00000000" w:rsidRDefault="00000000" w:rsidRPr="00000000" w14:paraId="000000A7">
      <w:pPr>
        <w:numPr>
          <w:ilvl w:val="1"/>
          <w:numId w:val="10"/>
        </w:numPr>
        <w:ind w:left="1253" w:right="0" w:hanging="360"/>
        <w:rPr>
          <w:sz w:val="24"/>
          <w:szCs w:val="24"/>
        </w:rPr>
        <w:sectPr>
          <w:headerReference r:id="rId12" w:type="default"/>
          <w:headerReference r:id="rId13" w:type="first"/>
          <w:headerReference r:id="rId14" w:type="even"/>
          <w:footerReference r:id="rId15" w:type="default"/>
          <w:footerReference r:id="rId16" w:type="first"/>
          <w:footerReference r:id="rId17" w:type="even"/>
          <w:pgSz w:h="16838" w:w="11906" w:orient="portrait"/>
          <w:pgMar w:bottom="1417" w:top="1417" w:left="1417" w:right="1417" w:header="0" w:footer="0"/>
          <w:pgNumType w:start="1"/>
        </w:sectPr>
      </w:pPr>
      <w:r w:rsidDel="00000000" w:rsidR="00000000" w:rsidRPr="00000000">
        <w:rPr>
          <w:sz w:val="24"/>
          <w:szCs w:val="24"/>
          <w:rtl w:val="0"/>
        </w:rPr>
        <w:t xml:space="preserve">Załącznik nr 4 - Oświadczenie o niepodleganiu wykluczeniu z postępowania na podstawie art.7 ust. 1 Ustawy z dnia 13 kwietnia 2022 r. o szczególnych rozwiązaniach w zakresie przeciwdziałania wspieraniu agresji na Ukrainę oraz służących ochronie bezpieczeństwa narodowego, (tj. Dz.U. 2024 r. poz. 507). </w:t>
      </w:r>
    </w:p>
    <w:p w:rsidR="00000000" w:rsidDel="00000000" w:rsidP="00000000" w:rsidRDefault="00000000" w:rsidRPr="00000000" w14:paraId="000000A8">
      <w:pPr>
        <w:spacing w:after="93" w:line="360" w:lineRule="auto"/>
        <w:ind w:left="47" w:right="86" w:firstLine="545"/>
        <w:jc w:val="center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Klauzula informacyjna dotycząca przetwarzania danych osobowych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after="502" w:line="360" w:lineRule="auto"/>
        <w:ind w:left="47" w:right="86" w:firstLine="545"/>
        <w:jc w:val="center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Minister właściwy do spraw rozwoju regionalnego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I. Administrator</w:t>
      </w:r>
    </w:p>
    <w:p w:rsidR="00000000" w:rsidDel="00000000" w:rsidP="00000000" w:rsidRDefault="00000000" w:rsidRPr="00000000" w14:paraId="000000AB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Odrębnym administratorem Państwa danych jest Minister właściwy do spraw rozwoju regionalnego z siedzibą przy ul. Wspólnej 2/4, 00-926 Warszawa.</w:t>
      </w:r>
    </w:p>
    <w:p w:rsidR="00000000" w:rsidDel="00000000" w:rsidP="00000000" w:rsidRDefault="00000000" w:rsidRPr="00000000" w14:paraId="000000AC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II. Cel przetwarzania danych</w:t>
      </w:r>
    </w:p>
    <w:p w:rsidR="00000000" w:rsidDel="00000000" w:rsidP="00000000" w:rsidRDefault="00000000" w:rsidRPr="00000000" w14:paraId="000000AD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będą przetwarzane w związku z realizacją FERS, w szczególności w celu monitorowania, sprawozdawczości, komunikacji, publikacji, ewaluacji, zarządzania finansowego, weryfikacji i audytów oraz do celów określania kwalifikowalności uczestników.</w:t>
      </w:r>
    </w:p>
    <w:p w:rsidR="00000000" w:rsidDel="00000000" w:rsidP="00000000" w:rsidRDefault="00000000" w:rsidRPr="00000000" w14:paraId="000000AE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Podanie danych jest dobrowolne, ale konieczne do realizacji wyżej wymienionego celu. Odmowa ich podania jest równoznaczna z brakiem możliwości podjęcia stosownych działań.</w:t>
      </w:r>
    </w:p>
    <w:p w:rsidR="00000000" w:rsidDel="00000000" w:rsidP="00000000" w:rsidRDefault="00000000" w:rsidRPr="00000000" w14:paraId="000000AF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III. Podstawa przetwarzania</w:t>
      </w:r>
    </w:p>
    <w:p w:rsidR="00000000" w:rsidDel="00000000" w:rsidP="00000000" w:rsidRDefault="00000000" w:rsidRPr="00000000" w14:paraId="000000B0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Będziemy przetwarzać Państwa dane osobowe w związku z tym, że zobowiązuje nas do tego prawo (art. 6 ust. 1 lit. c, art. 9 ust. 2 lit. g oraz art. 10 RODO):</w:t>
      </w:r>
    </w:p>
    <w:p w:rsidR="00000000" w:rsidDel="00000000" w:rsidP="00000000" w:rsidRDefault="00000000" w:rsidRPr="00000000" w14:paraId="000000B1">
      <w:pPr>
        <w:numPr>
          <w:ilvl w:val="0"/>
          <w:numId w:val="21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Azylu; Migracji i Integracji, Funduszu Bezpieczeństwa Wewnętrznego i Instrumentu Wsparcia: Finansowego na rzecz Zarządzania Granicami i Polityki Wizowej,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numPr>
          <w:ilvl w:val="0"/>
          <w:numId w:val="21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rozporządzenie Parlamentu Europejskiego i Rady (UEj 2021/1057 z dnia 24 Czerwca 2021 r. ustanawiające Europejski Fundusz Społeczny Plus (EFS+) oraz uchylające rozporządzenie (UE) nr 1296/2013 (Dz: Urz. UE L 231 z 30.06.2021, str 21, z późn. zm.)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numPr>
          <w:ilvl w:val="0"/>
          <w:numId w:val="21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ustawa z dnia 28 kwietnia 2022 r. o zasadach realizacji zadań finansowanych ze środków europejskich w perspektywie finansowej 2021-2027, w szczególności art. 87-93,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numPr>
          <w:ilvl w:val="0"/>
          <w:numId w:val="21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ustawa z 14 czerwca 1960 r. - Kodeks postępowania administracyjnego,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numPr>
          <w:ilvl w:val="0"/>
          <w:numId w:val="21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ustawa z 27 sierpnia 2009 r. o finansach publicznych.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IV. Sposób pozyskiwania danych</w:t>
      </w:r>
    </w:p>
    <w:p w:rsidR="00000000" w:rsidDel="00000000" w:rsidP="00000000" w:rsidRDefault="00000000" w:rsidRPr="00000000" w14:paraId="000000B7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pozyskujemy bezpośrednio od osób, których one dotyczą, albo od instytucji i podmiotów zaangażowanych w realizację Programu, w tym w szczególności od wnioskodawców, beneficjentów, partnerów.</w:t>
      </w:r>
    </w:p>
    <w:p w:rsidR="00000000" w:rsidDel="00000000" w:rsidP="00000000" w:rsidRDefault="00000000" w:rsidRPr="00000000" w14:paraId="000000B8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V. Dostęp do danych osobowych</w:t>
      </w:r>
    </w:p>
    <w:p w:rsidR="00000000" w:rsidDel="00000000" w:rsidP="00000000" w:rsidRDefault="00000000" w:rsidRPr="00000000" w14:paraId="000000B9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Dostęp do Państwa danych osobowych mają pracownicy i współpracownicy administratora. Ponadto Państwa dane osobowe mogą być powierzane lub udostępniane:</w:t>
      </w:r>
    </w:p>
    <w:p w:rsidR="00000000" w:rsidDel="00000000" w:rsidP="00000000" w:rsidRDefault="00000000" w:rsidRPr="00000000" w14:paraId="000000BA">
      <w:pPr>
        <w:numPr>
          <w:ilvl w:val="0"/>
          <w:numId w:val="22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podmiotom, którym zleciliśmy wykonywanie zadań w FERS,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numPr>
          <w:ilvl w:val="0"/>
          <w:numId w:val="22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organom Komisji Europejskiej, ministrowi właściwemu do spraw finansów publicznych, prezesowi zakładu ubezpieczeń społecznych,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numPr>
          <w:ilvl w:val="0"/>
          <w:numId w:val="22"/>
        </w:numPr>
        <w:spacing w:after="0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podmiotom,</w:t>
        <w:tab/>
        <w:t xml:space="preserve">które</w:t>
        <w:tab/>
        <w:t xml:space="preserve">wykonują</w:t>
        <w:tab/>
        <w:t xml:space="preserve">dla</w:t>
        <w:tab/>
        <w:t xml:space="preserve">nas</w:t>
        <w:tab/>
        <w:t xml:space="preserve">usługi</w:t>
        <w:tab/>
        <w:t xml:space="preserve">związane</w:t>
        <w:tab/>
        <w:t xml:space="preserve">z</w:t>
        <w:tab/>
        <w:t xml:space="preserve">obsługą</w:t>
        <w:tab/>
        <w:t xml:space="preserve">i</w:t>
        <w:tab/>
        <w:t xml:space="preserve">rozwojem</w:t>
        <w:tab/>
        <w:t xml:space="preserve">systemów teleinformatycznych, a także zapewnieniem łączności, np. dostawcom rozwiązań IT i operatorom telekomunikacyjnym.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VI. Okres przechowywania danych</w:t>
      </w:r>
    </w:p>
    <w:p w:rsidR="00000000" w:rsidDel="00000000" w:rsidP="00000000" w:rsidRDefault="00000000" w:rsidRPr="00000000" w14:paraId="000000BE">
      <w:pPr>
        <w:spacing w:line="360" w:lineRule="auto"/>
        <w:ind w:left="2" w:right="433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są przechowywane przez okres niezbędny do realizacji celów określonych w punkcie II. </w:t>
      </w:r>
    </w:p>
    <w:p w:rsidR="00000000" w:rsidDel="00000000" w:rsidP="00000000" w:rsidRDefault="00000000" w:rsidRPr="00000000" w14:paraId="000000BF">
      <w:pPr>
        <w:spacing w:line="360" w:lineRule="auto"/>
        <w:ind w:left="2" w:right="433" w:firstLine="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VII. Prawa osób, których dane dotyczą </w:t>
      </w:r>
    </w:p>
    <w:p w:rsidR="00000000" w:rsidDel="00000000" w:rsidP="00000000" w:rsidRDefault="00000000" w:rsidRPr="00000000" w14:paraId="000000C0">
      <w:pPr>
        <w:spacing w:line="360" w:lineRule="auto"/>
        <w:ind w:left="2" w:right="433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Przysługują Państwu następujące prawa:</w:t>
      </w:r>
    </w:p>
    <w:p w:rsidR="00000000" w:rsidDel="00000000" w:rsidP="00000000" w:rsidRDefault="00000000" w:rsidRPr="00000000" w14:paraId="000000C1">
      <w:pPr>
        <w:numPr>
          <w:ilvl w:val="0"/>
          <w:numId w:val="4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dostępu do swoich danych oraz otrzymania ich kopii (art. 15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numPr>
          <w:ilvl w:val="0"/>
          <w:numId w:val="4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sprostowania swoich danych (art. 16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numPr>
          <w:ilvl w:val="0"/>
          <w:numId w:val="4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usunięcia swoich danych (art. 17 RODO) – jeśli nie zaistniały okoliczności, o których mowa w art;. 17 ust. 3 RODO,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numPr>
          <w:ilvl w:val="0"/>
          <w:numId w:val="4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żądania od administratora ograniczenia przetwarzania swoich danych (art. 18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numPr>
          <w:ilvl w:val="0"/>
          <w:numId w:val="4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przenoszenia swoich danych (art. 20 RODO) - jeśli przetwarzanie odbywa się na podstawie umowy: w celu jej zawarcia lub realizacji (w myśl art. 6 ust. 1 lit. b RODO), oraz w sposób zautomatyzowany,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numPr>
          <w:ilvl w:val="0"/>
          <w:numId w:val="4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wniesienia skargi do organu nadzorczego Prezesa Urzędu Ochrony Danych Osobowych (art. 77 RODO) – w przypadku, gdy osoba uzna, iż przetwarzanie jej danych osobowych narusza przepisy RODO lub inne krajowe przepisy regulujące kwestię ochrony danych osobowych, obowiązujące 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after="93" w:line="360" w:lineRule="auto"/>
        <w:ind w:left="377" w:right="62" w:firstLine="54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Polsce.</w:t>
      </w:r>
    </w:p>
    <w:p w:rsidR="00000000" w:rsidDel="00000000" w:rsidP="00000000" w:rsidRDefault="00000000" w:rsidRPr="00000000" w14:paraId="000000C8">
      <w:pPr>
        <w:numPr>
          <w:ilvl w:val="0"/>
          <w:numId w:val="16"/>
        </w:numPr>
        <w:spacing w:after="90" w:line="360" w:lineRule="auto"/>
        <w:ind w:left="465" w:right="0" w:hanging="463"/>
        <w:jc w:val="left"/>
        <w:rPr/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Zautomatyzowane podejmowanie decyzji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93" w:line="360" w:lineRule="auto"/>
        <w:ind w:left="2" w:right="62" w:firstLine="54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nie będą podlegały zautomatyzowanemu podejmowaniu decyzji, w tym profilowaniu.</w:t>
      </w:r>
    </w:p>
    <w:p w:rsidR="00000000" w:rsidDel="00000000" w:rsidP="00000000" w:rsidRDefault="00000000" w:rsidRPr="00000000" w14:paraId="000000CA">
      <w:pPr>
        <w:numPr>
          <w:ilvl w:val="0"/>
          <w:numId w:val="16"/>
        </w:numPr>
        <w:spacing w:after="90" w:line="360" w:lineRule="auto"/>
        <w:ind w:left="465" w:right="0" w:hanging="463"/>
        <w:jc w:val="left"/>
        <w:rPr/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Przekazywanie danych do państwa trzeciego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93" w:line="360" w:lineRule="auto"/>
        <w:ind w:left="2" w:right="62" w:firstLine="54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Państwa dane osobowe nie będą przekazywane do państwa trzeciego.</w:t>
      </w:r>
    </w:p>
    <w:p w:rsidR="00000000" w:rsidDel="00000000" w:rsidP="00000000" w:rsidRDefault="00000000" w:rsidRPr="00000000" w14:paraId="000000CC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X. Kontakt z administratorem danych i Inspektorem Ochrony Danych</w:t>
      </w:r>
    </w:p>
    <w:p w:rsidR="00000000" w:rsidDel="00000000" w:rsidP="00000000" w:rsidRDefault="00000000" w:rsidRPr="00000000" w14:paraId="000000CD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Jeśli mają Państwo pytania dotyczące przetwarzania przez ministra właściwego do spraw rozwoju regionalnego danych osobowych, prosimy kontaktować się z Inspektorem Ochrony Danych (IOD) w następujący sposób: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numPr>
          <w:ilvl w:val="0"/>
          <w:numId w:val="3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5" w:right="62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pocztą tradycyjną (ul. Wspólna 2/4, 00-926 Warszawa),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numPr>
          <w:ilvl w:val="0"/>
          <w:numId w:val="3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" w:before="0" w:line="360" w:lineRule="auto"/>
        <w:ind w:left="725" w:right="62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elektronicznie (adres e-mail: IOD@mfipr.gov.pl).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after="93" w:line="360" w:lineRule="auto"/>
        <w:ind w:left="47" w:right="86" w:firstLine="545"/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93" w:line="360" w:lineRule="auto"/>
        <w:ind w:left="0" w:right="86" w:firstLine="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Klauzula informacyjna dotycząca przetwarzania danych osobowych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Kancelaria Prezesa Rady Ministrów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after="409" w:line="360" w:lineRule="auto"/>
        <w:ind w:left="1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celu wykonania obowiązku nałożonego art. 13 i 14 RODO, w związku z art. 88 ustawy o zasadach realizacji zadań finansowanych ze środków europejskich w perspektywie finansowej 2021-2027, informujemy o zasadach przetwarzania Państwa danych osobowych:</w:t>
      </w:r>
    </w:p>
    <w:p w:rsidR="00000000" w:rsidDel="00000000" w:rsidP="00000000" w:rsidRDefault="00000000" w:rsidRPr="00000000" w14:paraId="000000D3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XI. Administrator</w:t>
      </w:r>
    </w:p>
    <w:p w:rsidR="00000000" w:rsidDel="00000000" w:rsidP="00000000" w:rsidRDefault="00000000" w:rsidRPr="00000000" w14:paraId="000000D4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Odrębnym administratorem Państwa danych jest Kancelaria Prezesa Rady Ministrów z siedzibą przy Alejach Ujazdowskich 1/3, 00-583 Warszawa.</w:t>
      </w:r>
    </w:p>
    <w:p w:rsidR="00000000" w:rsidDel="00000000" w:rsidP="00000000" w:rsidRDefault="00000000" w:rsidRPr="00000000" w14:paraId="000000D5">
      <w:pPr>
        <w:pStyle w:val="Heading1"/>
        <w:spacing w:line="360" w:lineRule="auto"/>
        <w:ind w:left="12" w:right="0" w:firstLine="4023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XII. Cel przetwarzania danych</w:t>
      </w:r>
    </w:p>
    <w:p w:rsidR="00000000" w:rsidDel="00000000" w:rsidP="00000000" w:rsidRDefault="00000000" w:rsidRPr="00000000" w14:paraId="000000D7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będą przetwarzane w związku z realizacją FERS, w szczególności w celu monitorowania, sprawozdawczości, komunikacji, publikacji, ewaluacji, zarządzania finansowego, weryfikacji i audytów oraz do celów określania kwalifikowalności uczestników.</w:t>
      </w:r>
    </w:p>
    <w:p w:rsidR="00000000" w:rsidDel="00000000" w:rsidP="00000000" w:rsidRDefault="00000000" w:rsidRPr="00000000" w14:paraId="000000D8">
      <w:pPr>
        <w:spacing w:line="360" w:lineRule="auto"/>
        <w:ind w:left="2" w:right="62" w:firstLine="54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Podanie danych jest dobrowolne, ale konieczne do realizacji wyżej wymienionego celu. Odmowa ich podania jest równoznaczna z brakiem możliwości podjęcia stosownych działań.</w:t>
      </w:r>
    </w:p>
    <w:p w:rsidR="00000000" w:rsidDel="00000000" w:rsidP="00000000" w:rsidRDefault="00000000" w:rsidRPr="00000000" w14:paraId="000000D9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XIII. Podstawa przetwarzania</w:t>
      </w:r>
    </w:p>
    <w:p w:rsidR="00000000" w:rsidDel="00000000" w:rsidP="00000000" w:rsidRDefault="00000000" w:rsidRPr="00000000" w14:paraId="000000DA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Będziemy przetwarzać Państwa dane osobowe w związku z tym, że zobowiązuje nas do tego prawo (art. 6 ust. 1 lit. c, art. 9 ust. 2 lit. g oraz art. 1095 RODO):</w:t>
      </w:r>
    </w:p>
    <w:p w:rsidR="00000000" w:rsidDel="00000000" w:rsidP="00000000" w:rsidRDefault="00000000" w:rsidRPr="00000000" w14:paraId="000000DB">
      <w:pPr>
        <w:numPr>
          <w:ilvl w:val="0"/>
          <w:numId w:val="24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numPr>
          <w:ilvl w:val="0"/>
          <w:numId w:val="24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późn. zm.)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numPr>
          <w:ilvl w:val="0"/>
          <w:numId w:val="24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ustawa z dnia 28 kwietnia 2022 r. o zasadach realizacji zadań finansowanych ze środków europejskich w perspektywie finansowej 2021-2027, w szczególności art 87-93,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numPr>
          <w:ilvl w:val="0"/>
          <w:numId w:val="24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ustawa z 14 czerwca 1960 r. - Kodeks postępowania administracyjnego,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numPr>
          <w:ilvl w:val="0"/>
          <w:numId w:val="24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ustawa z 27 sierpnia 2009 r, o finansach publicznych,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numPr>
          <w:ilvl w:val="0"/>
          <w:numId w:val="24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ustawa z dnia 14 lipca 1983 r. o narodowym zasobie archiwalnym i archiwach (Dz. U. z 2020, poz. 164, z poźn. zm.).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XIV. Sposób pozyskiwania danych</w:t>
      </w:r>
    </w:p>
    <w:p w:rsidR="00000000" w:rsidDel="00000000" w:rsidP="00000000" w:rsidRDefault="00000000" w:rsidRPr="00000000" w14:paraId="000000E2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pozyskujemy bezpośrednio od osób, których one dotyczą, albo od instytucji i podmiotów zaangażowanych w realizację Programu, w tym w szczególności od wnioskodawców, beneficjentów, partnerów.</w:t>
      </w:r>
    </w:p>
    <w:p w:rsidR="00000000" w:rsidDel="00000000" w:rsidP="00000000" w:rsidRDefault="00000000" w:rsidRPr="00000000" w14:paraId="000000E3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XV. Dostęp do danych osobowych</w:t>
      </w:r>
    </w:p>
    <w:p w:rsidR="00000000" w:rsidDel="00000000" w:rsidP="00000000" w:rsidRDefault="00000000" w:rsidRPr="00000000" w14:paraId="000000E4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Dostęp do Państwa danych osobowych mają pracownicy i współpracownicy administratora. Ponadto Państwa dane osobowe mogą być powierzane lub udostępniane:</w:t>
      </w:r>
    </w:p>
    <w:p w:rsidR="00000000" w:rsidDel="00000000" w:rsidP="00000000" w:rsidRDefault="00000000" w:rsidRPr="00000000" w14:paraId="000000E5">
      <w:pPr>
        <w:numPr>
          <w:ilvl w:val="0"/>
          <w:numId w:val="26"/>
        </w:numPr>
        <w:spacing w:after="93" w:line="360" w:lineRule="auto"/>
        <w:ind w:left="377" w:right="62" w:hanging="360"/>
        <w:jc w:val="left"/>
        <w:rPr/>
      </w:pPr>
      <w:r w:rsidDel="00000000" w:rsidR="00000000" w:rsidRPr="00000000">
        <w:rPr>
          <w:sz w:val="24"/>
          <w:szCs w:val="24"/>
          <w:rtl w:val="0"/>
        </w:rPr>
        <w:t xml:space="preserve">podmiotom,</w:t>
        <w:tab/>
        <w:t xml:space="preserve">zaangażowanym</w:t>
        <w:tab/>
        <w:t xml:space="preserve">w</w:t>
        <w:tab/>
        <w:t xml:space="preserve">realizację</w:t>
        <w:tab/>
        <w:t xml:space="preserve">zadań</w:t>
        <w:tab/>
        <w:t xml:space="preserve">w</w:t>
        <w:tab/>
        <w:t xml:space="preserve">ramach</w:t>
        <w:tab/>
        <w:t xml:space="preserve">FERS, w</w:t>
        <w:tab/>
        <w:t xml:space="preserve">szczególności</w:t>
        <w:tab/>
        <w:t xml:space="preserve">Instytucji Zarządzającej, Instytucji Koordynującej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numPr>
          <w:ilvl w:val="0"/>
          <w:numId w:val="26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podmiotom, którym zleciliśmy Wykonywanie zadań w FERS,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numPr>
          <w:ilvl w:val="0"/>
          <w:numId w:val="26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organom Komisji Europejskiej, ministrowi właściwemu do spraw rozwoju regionalnego, ministrowi właściwemu do spraw finansów publicznych, prezesowi zakładu ubezpieczeń społecznych,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numPr>
          <w:ilvl w:val="0"/>
          <w:numId w:val="26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podmiotom, które wykonują dla nas usługi związane z obsługą i rozwojem systemów teleinformatycznych, a także zapewnieniem łączności, np. dostawcom rozwiązań IT i operatorom telekomunikacyjnym,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numPr>
          <w:ilvl w:val="0"/>
          <w:numId w:val="26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podmiotom, które wykonują czynności związane z audytem i kontrolą,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numPr>
          <w:ilvl w:val="0"/>
          <w:numId w:val="26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innym podmiotom upoważnionym na podstawie przepisów prawa, a także podmiotom, którym wymienione podmioty powierzają realizację zadań na podstawie odrębnych umów, w zakresie niezbędnym do realizacji ich zadań.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XVI. Okres przechowywania danych</w:t>
      </w:r>
    </w:p>
    <w:p w:rsidR="00000000" w:rsidDel="00000000" w:rsidP="00000000" w:rsidRDefault="00000000" w:rsidRPr="00000000" w14:paraId="000000EC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są przechowywane przez okres niezbędny do realizacji celów określonych w punkcie XII, jednak nie dłużej niż okres wymieniony w art. 82 rozporządzenia Parlamentu Europejskiego i Rady (UE) nr 2021/1060 z 24 czerwca 2021 r., a także przez okres wynikający w ustawy z dnia 14 lipca 1983 r. o narodowym zasobie archiwalnym i archiwach.</w:t>
      </w:r>
    </w:p>
    <w:p w:rsidR="00000000" w:rsidDel="00000000" w:rsidP="00000000" w:rsidRDefault="00000000" w:rsidRPr="00000000" w14:paraId="000000ED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XVII. Prawa osób, których dane dotyczą </w:t>
      </w:r>
      <w:r w:rsidDel="00000000" w:rsidR="00000000" w:rsidRPr="00000000">
        <w:rPr>
          <w:sz w:val="24"/>
          <w:szCs w:val="24"/>
          <w:rtl w:val="0"/>
        </w:rPr>
        <w:t xml:space="preserve">Przysługują Państwu następujące prawa:</w:t>
      </w:r>
    </w:p>
    <w:p w:rsidR="00000000" w:rsidDel="00000000" w:rsidP="00000000" w:rsidRDefault="00000000" w:rsidRPr="00000000" w14:paraId="000000EE">
      <w:pPr>
        <w:numPr>
          <w:ilvl w:val="0"/>
          <w:numId w:val="27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dostępu do swoich danych oraz otrzymania ich kopii (art. 15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numPr>
          <w:ilvl w:val="0"/>
          <w:numId w:val="27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sprostowania swoich danych (art. 16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numPr>
          <w:ilvl w:val="0"/>
          <w:numId w:val="27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usunięcia swoich danych (art. 17 RODO) - jeśli nie zaistniały okoliczności, o których mowa w art. 17 ust. 3 RODO,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numPr>
          <w:ilvl w:val="0"/>
          <w:numId w:val="27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żądania od administratora ograniczenia przetwarzania swoich danych (art. 18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numPr>
          <w:ilvl w:val="0"/>
          <w:numId w:val="27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przenoszenia swoich danych (art. 20 RODO) - jeśli przetwarzanie odbywa się na podstawie umowy: w celu jej zawarcia lub realizacji (w myśl art. 6 ust. 1 lit. b RODO), oraz w sposób zautomatyzowany,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numPr>
          <w:ilvl w:val="0"/>
          <w:numId w:val="27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numPr>
          <w:ilvl w:val="0"/>
          <w:numId w:val="28"/>
        </w:numPr>
        <w:spacing w:after="90" w:line="360" w:lineRule="auto"/>
        <w:ind w:left="589" w:right="0" w:hanging="587"/>
        <w:jc w:val="left"/>
        <w:rPr/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Zautomatyzowane podejmowanie decyzji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spacing w:after="93"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nie będą podlegały zautomatyzowanemu podejmowaniu decyzji, w tym profilowaniu.</w:t>
      </w:r>
    </w:p>
    <w:p w:rsidR="00000000" w:rsidDel="00000000" w:rsidP="00000000" w:rsidRDefault="00000000" w:rsidRPr="00000000" w14:paraId="000000F6">
      <w:pPr>
        <w:numPr>
          <w:ilvl w:val="0"/>
          <w:numId w:val="28"/>
        </w:numPr>
        <w:spacing w:after="90" w:line="360" w:lineRule="auto"/>
        <w:ind w:left="589" w:right="0" w:hanging="587"/>
        <w:jc w:val="left"/>
        <w:rPr/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Przekazywanie danych do państwa trzeciego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spacing w:after="93"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Państwa dane osobowe nie będą przekazywane do państwa trzeciego.</w:t>
      </w:r>
    </w:p>
    <w:p w:rsidR="00000000" w:rsidDel="00000000" w:rsidP="00000000" w:rsidRDefault="00000000" w:rsidRPr="00000000" w14:paraId="000000F8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XX. Kontakt z administratorem danych i Inspektorem Ochrony Danych</w:t>
      </w:r>
    </w:p>
    <w:p w:rsidR="00000000" w:rsidDel="00000000" w:rsidP="00000000" w:rsidRDefault="00000000" w:rsidRPr="00000000" w14:paraId="000000F9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Jeśli mają Państwo pytania dotyczące przetwarzania danych osobowych, prosimy kontaktować się z Inspektorem Ochrony Danych (IOD) w następujący sposób: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numPr>
          <w:ilvl w:val="0"/>
          <w:numId w:val="3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5" w:right="62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pocztą tradycyjną (Aleje Ujazdowskie 1/3, 00-583 Warszawa),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numPr>
          <w:ilvl w:val="0"/>
          <w:numId w:val="3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5" w:right="62" w:hanging="360"/>
        <w:jc w:val="both"/>
        <w:rPr>
          <w:rFonts w:ascii="Calibri" w:cs="Calibri" w:eastAsia="Calibri" w:hAnsi="Calibri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elektronicznie (adres e-mail: </w:t>
      </w:r>
      <w:hyperlink r:id="rId18">
        <w:r w:rsidDel="00000000" w:rsidR="00000000" w:rsidRPr="00000000">
          <w:rPr>
            <w:i w:val="0"/>
            <w:iCs w:val="0"/>
            <w:smallCaps w:val="0"/>
            <w:strike w:val="0"/>
            <w:color w:val="467886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IOD@kprm.gov.pl</w:t>
        </w:r>
      </w:hyperlink>
      <w:r w:rsidDel="00000000" w:rsidR="00000000" w:rsidRPr="00000000"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" w:before="0" w:line="360" w:lineRule="auto"/>
        <w:ind w:left="725" w:right="62" w:firstLine="0"/>
        <w:jc w:val="both"/>
        <w:rPr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spacing w:after="93" w:line="360" w:lineRule="auto"/>
        <w:ind w:left="47" w:right="86" w:firstLine="545"/>
        <w:jc w:val="center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Zgoda dotycząca przetwarzania danych osobowych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spacing w:after="502" w:line="360" w:lineRule="auto"/>
        <w:ind w:left="47" w:right="86" w:firstLine="545"/>
        <w:jc w:val="center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Fundacja Młode Kresy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spacing w:after="409" w:line="360" w:lineRule="auto"/>
        <w:ind w:left="1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celu wykonania obowiązku nałożonego art. 13 i 14 RODO, w związku z art. 88 ustawy o zasadach realizacji zadań finansowanych ze środków europejskich w perspektywie finansowej 2021-2027, informujemy o zasadach przetwarzania Państwa danych osobowych:</w:t>
      </w:r>
    </w:p>
    <w:p w:rsidR="00000000" w:rsidDel="00000000" w:rsidP="00000000" w:rsidRDefault="00000000" w:rsidRPr="00000000" w14:paraId="00000100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XXI. Administrator</w:t>
      </w:r>
    </w:p>
    <w:p w:rsidR="00000000" w:rsidDel="00000000" w:rsidP="00000000" w:rsidRDefault="00000000" w:rsidRPr="00000000" w14:paraId="00000101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Odrębnym administratorem Państwa danych jest Fundacja Młode Kresy z siedzibą w Warszawie</w:t>
      </w:r>
    </w:p>
    <w:p w:rsidR="00000000" w:rsidDel="00000000" w:rsidP="00000000" w:rsidRDefault="00000000" w:rsidRPr="00000000" w14:paraId="00000102">
      <w:pPr>
        <w:pStyle w:val="Heading1"/>
        <w:spacing w:line="360" w:lineRule="auto"/>
        <w:ind w:left="12" w:right="0" w:firstLine="4023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XXII. Cel przetwarzania danych</w:t>
      </w:r>
    </w:p>
    <w:p w:rsidR="00000000" w:rsidDel="00000000" w:rsidP="00000000" w:rsidRDefault="00000000" w:rsidRPr="00000000" w14:paraId="00000103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będą przetwarzane w związku z realizacją FERS, w szczególności w celu monitorowania, sprawozdawczości, komunikacji, publikacji, ewaluacji, zarządzania finansowego, weryfikacji i audytów oraz do celów określania kwalifikowalności uczestników.</w:t>
      </w:r>
    </w:p>
    <w:p w:rsidR="00000000" w:rsidDel="00000000" w:rsidP="00000000" w:rsidRDefault="00000000" w:rsidRPr="00000000" w14:paraId="00000104">
      <w:pPr>
        <w:spacing w:line="360" w:lineRule="auto"/>
        <w:ind w:left="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celu rozpoczęcia udziału osoby w projekcie, niezbędne jest podanie danych osobowych w zakresie wyznaczonym w Wytycznych dotyczących monitorowania postępu rzeczowego realizacji programów na lata 2021-2027.</w:t>
      </w:r>
    </w:p>
    <w:p w:rsidR="00000000" w:rsidDel="00000000" w:rsidP="00000000" w:rsidRDefault="00000000" w:rsidRPr="00000000" w14:paraId="00000105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Uczestnik postępowania ma możliwość odmowy podania danych osobowych szczególnej kategorii, o której mowa w art. 9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ze zm.</w:t>
      </w:r>
    </w:p>
    <w:p w:rsidR="00000000" w:rsidDel="00000000" w:rsidP="00000000" w:rsidRDefault="00000000" w:rsidRPr="00000000" w14:paraId="00000106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Podanie danych jest dobrowolne, ale konieczne do realizacji wyżej wymienionego celu. Odmowa ich podania jest równoznaczna z brakiem możliwości podjęcia stosownych działań.</w:t>
      </w:r>
    </w:p>
    <w:p w:rsidR="00000000" w:rsidDel="00000000" w:rsidP="00000000" w:rsidRDefault="00000000" w:rsidRPr="00000000" w14:paraId="00000107">
      <w:pPr>
        <w:pStyle w:val="Heading1"/>
        <w:spacing w:line="36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XXIII. Podstawa przetwarzania</w:t>
      </w:r>
    </w:p>
    <w:p w:rsidR="00000000" w:rsidDel="00000000" w:rsidP="00000000" w:rsidRDefault="00000000" w:rsidRPr="00000000" w14:paraId="00000108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My, Fundacja Młode Kresy, jako Administrator, będziemy przetwarzać Państwa dane osobowe na podstawie udzielonej przez Państwa zgody, tj. na podstawie art. 6 ust. 1 lit.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(Dz.Urz.UE.L Nr 119, str. 1) (tzw. RODO).</w:t>
      </w:r>
    </w:p>
    <w:p w:rsidR="00000000" w:rsidDel="00000000" w:rsidP="00000000" w:rsidRDefault="00000000" w:rsidRPr="00000000" w14:paraId="00000109">
      <w:pPr>
        <w:pStyle w:val="Heading1"/>
        <w:spacing w:line="360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XXIV. Sposób pozyskiwania danych</w:t>
      </w:r>
    </w:p>
    <w:p w:rsidR="00000000" w:rsidDel="00000000" w:rsidP="00000000" w:rsidRDefault="00000000" w:rsidRPr="00000000" w14:paraId="0000010A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pozyskujemy bezpośrednio od osób, których one dotyczą, albo od instytucji i podmiotów zaangażowanych w realizację zamówienia.</w:t>
      </w:r>
    </w:p>
    <w:p w:rsidR="00000000" w:rsidDel="00000000" w:rsidP="00000000" w:rsidRDefault="00000000" w:rsidRPr="00000000" w14:paraId="0000010B">
      <w:pPr>
        <w:pStyle w:val="Heading1"/>
        <w:spacing w:line="36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XXV. Dostęp do danych osobowych</w:t>
      </w:r>
    </w:p>
    <w:p w:rsidR="00000000" w:rsidDel="00000000" w:rsidP="00000000" w:rsidRDefault="00000000" w:rsidRPr="00000000" w14:paraId="0000010C">
      <w:pPr>
        <w:spacing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Dostęp do Państwa danych osobowych mają pracownicy i współpracownicy administratora. Ponadto Państwa dane osobowe mogą być powierzane lub udostępniane:</w:t>
      </w:r>
    </w:p>
    <w:p w:rsidR="00000000" w:rsidDel="00000000" w:rsidP="00000000" w:rsidRDefault="00000000" w:rsidRPr="00000000" w14:paraId="0000010D">
      <w:pPr>
        <w:numPr>
          <w:ilvl w:val="0"/>
          <w:numId w:val="29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podmiotom, którym zleciliśmy wykonywanie zadań w FERS,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numPr>
          <w:ilvl w:val="0"/>
          <w:numId w:val="29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organom Komisji Europejskiej, ministrowi właściwemu do spraw finansów publicznych, Prezesowi Rady Ministrów, prezesowi zakładu ubezpieczeń społecznych,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numPr>
          <w:ilvl w:val="0"/>
          <w:numId w:val="29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podmiotom, które wykonują dla nas usługi związane z obsługą i rozwojem systemów teleinformatycznych, a także zapewnieniem łączności, np. dostawcom rozwiązań IT i operatorom telekomunikacyjnym.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pStyle w:val="Heading1"/>
        <w:spacing w:line="36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XXVI. Okres przechowywania danych</w:t>
      </w:r>
    </w:p>
    <w:p w:rsidR="00000000" w:rsidDel="00000000" w:rsidP="00000000" w:rsidRDefault="00000000" w:rsidRPr="00000000" w14:paraId="00000111">
      <w:pPr>
        <w:spacing w:line="360" w:lineRule="auto"/>
        <w:ind w:left="2" w:right="20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są przechowywane przez okres niezbędny do realizacji celów określonych w punkcie XXII. </w:t>
      </w:r>
    </w:p>
    <w:p w:rsidR="00000000" w:rsidDel="00000000" w:rsidP="00000000" w:rsidRDefault="00000000" w:rsidRPr="00000000" w14:paraId="00000112">
      <w:pPr>
        <w:spacing w:line="360" w:lineRule="auto"/>
        <w:ind w:left="2" w:right="202" w:firstLine="0"/>
        <w:jc w:val="left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XXVII. Prawa osób, których dane dotyczą </w:t>
      </w:r>
    </w:p>
    <w:p w:rsidR="00000000" w:rsidDel="00000000" w:rsidP="00000000" w:rsidRDefault="00000000" w:rsidRPr="00000000" w14:paraId="00000113">
      <w:pPr>
        <w:spacing w:line="360" w:lineRule="auto"/>
        <w:ind w:left="2" w:right="20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Przysługują Państwu następujące prawa:</w:t>
      </w:r>
    </w:p>
    <w:p w:rsidR="00000000" w:rsidDel="00000000" w:rsidP="00000000" w:rsidRDefault="00000000" w:rsidRPr="00000000" w14:paraId="00000114">
      <w:pPr>
        <w:numPr>
          <w:ilvl w:val="0"/>
          <w:numId w:val="23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dostępu do swoich danych oraz otrzymania ich kopii (art. 15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numPr>
          <w:ilvl w:val="0"/>
          <w:numId w:val="23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sprostowania swoich danych (art. 16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numPr>
          <w:ilvl w:val="0"/>
          <w:numId w:val="23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usunięcia swoich danych (art. 17 RODO) - jeśli nie zaistniały okoliczności, o których mowa w art;. 17 ust. 3 RODO,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numPr>
          <w:ilvl w:val="0"/>
          <w:numId w:val="23"/>
        </w:numPr>
        <w:spacing w:after="93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żądania od administratora ograniczenia przetwarzania swoich danych (art. 18 RODO),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numPr>
          <w:ilvl w:val="0"/>
          <w:numId w:val="23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do przenoszenia swoich danych (art. 20 RODO) - jeśli przetwarzanie odbywa się na podstawie umowy: w celu jej zawarcia lub realizacji (w myśl art. 6 ust. 1 lit. b RODO), oraz w sposób zautomatyzowany,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numPr>
          <w:ilvl w:val="0"/>
          <w:numId w:val="23"/>
        </w:numPr>
        <w:spacing w:after="4" w:line="360" w:lineRule="auto"/>
        <w:ind w:left="362" w:right="62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90" w:line="360" w:lineRule="auto"/>
        <w:ind w:left="12" w:firstLine="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XXVIII. Zautomatyzowane podejmowanie decyzji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93"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Dane osobowe nie będą podlegały zautomatyzowanemu podejmowaniu decyzji, w tym profilowaniu.</w:t>
      </w:r>
    </w:p>
    <w:p w:rsidR="00000000" w:rsidDel="00000000" w:rsidP="00000000" w:rsidRDefault="00000000" w:rsidRPr="00000000" w14:paraId="0000011C">
      <w:pPr>
        <w:spacing w:after="90" w:line="360" w:lineRule="auto"/>
        <w:ind w:left="12" w:firstLine="0"/>
        <w:jc w:val="left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XIX. Przekazywanie danych do państwa trzeciego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93" w:line="360" w:lineRule="auto"/>
        <w:ind w:left="2" w:right="6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Państwa dane osobowe nie będą przekazywane do państwa trzeciego.</w:t>
      </w:r>
    </w:p>
    <w:p w:rsidR="00000000" w:rsidDel="00000000" w:rsidP="00000000" w:rsidRDefault="00000000" w:rsidRPr="00000000" w14:paraId="0000011E">
      <w:pPr>
        <w:pStyle w:val="Heading1"/>
        <w:spacing w:line="360" w:lineRule="auto"/>
        <w:ind w:left="12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XXX. Kontakt z administratorem danych</w:t>
      </w:r>
    </w:p>
    <w:p w:rsidR="00000000" w:rsidDel="00000000" w:rsidP="00000000" w:rsidRDefault="00000000" w:rsidRPr="00000000" w14:paraId="0000011F">
      <w:pPr>
        <w:spacing w:after="412" w:line="360" w:lineRule="auto"/>
        <w:ind w:left="2" w:right="62" w:firstLine="54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Jeśli mają Państwo pytania dotyczące przetwarzania danych osobowych przez Fundację Młode Kresy, prosimy kontaktować się z Administratorem w następujący sposób: </w:t>
      </w: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▪ </w:t>
      </w:r>
      <w:r w:rsidDel="00000000" w:rsidR="00000000" w:rsidRPr="00000000">
        <w:rPr>
          <w:sz w:val="24"/>
          <w:szCs w:val="24"/>
          <w:rtl w:val="0"/>
        </w:rPr>
        <w:t xml:space="preserve">pocztą tradycyjną (ul. Grodkowska 15 / 52, 01-461 Warszawa ), </w:t>
      </w: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▪ </w:t>
      </w:r>
      <w:r w:rsidDel="00000000" w:rsidR="00000000" w:rsidRPr="00000000">
        <w:rPr>
          <w:sz w:val="24"/>
          <w:szCs w:val="24"/>
          <w:rtl w:val="0"/>
        </w:rPr>
        <w:t xml:space="preserve">elektronicznie (adres e-mail fundacja@mlodekresy.pl).</w:t>
      </w:r>
    </w:p>
    <w:p w:rsidR="00000000" w:rsidDel="00000000" w:rsidP="00000000" w:rsidRDefault="00000000" w:rsidRPr="00000000" w14:paraId="00000120">
      <w:pPr>
        <w:spacing w:after="505" w:line="360" w:lineRule="auto"/>
        <w:ind w:left="2" w:right="62" w:firstLine="54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Niniejszym wyrażam zgodę na przetwarzanie moich danych osobowych, podanych podczas składania oferty na realizację zamówienia w zakresie i na warunkach wskazanych w niniejszym dokumencie przez Fundację Młode Kresy z siedzibą w Warszawie. Niezależnie od powyższej zgody, oświadczam, iż zapoznałam/zapoznałem się z klauzulą informacyjną dotyczącą przetwarzania danych osobowych przez Kancelarię Prezesa Rady Ministrów oraz przez Ministra właściwego do spraw rozwoju regionalnego.</w:t>
      </w:r>
    </w:p>
    <w:p w:rsidR="00000000" w:rsidDel="00000000" w:rsidP="00000000" w:rsidRDefault="00000000" w:rsidRPr="00000000" w14:paraId="0000012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41" w:rightFromText="141" w:topFromText="0" w:bottomFromText="0" w:vertAnchor="text" w:horzAnchor="text" w:tblpX="811.0000000000002" w:tblpY="243"/>
        <w:tblW w:w="7533.0" w:type="dxa"/>
        <w:jc w:val="left"/>
        <w:tblLayout w:type="fixed"/>
        <w:tblLook w:val="0400"/>
      </w:tblPr>
      <w:tblGrid>
        <w:gridCol w:w="3690"/>
        <w:gridCol w:w="3843"/>
        <w:tblGridChange w:id="0">
          <w:tblGrid>
            <w:gridCol w:w="3690"/>
            <w:gridCol w:w="3843"/>
          </w:tblGrid>
        </w:tblGridChange>
      </w:tblGrid>
      <w:tr>
        <w:trPr>
          <w:cantSplit w:val="0"/>
          <w:trHeight w:val="35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22">
            <w:pPr>
              <w:spacing w:after="0" w:line="360" w:lineRule="auto"/>
              <w:ind w:left="28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…..………………………………………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23">
            <w:pPr>
              <w:spacing w:after="0" w:line="360" w:lineRule="auto"/>
              <w:ind w:left="949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……………………………………………</w:t>
            </w:r>
          </w:p>
        </w:tc>
      </w:tr>
      <w:tr>
        <w:trPr>
          <w:cantSplit w:val="0"/>
          <w:trHeight w:val="35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24">
            <w:pPr>
              <w:spacing w:after="0" w:line="360" w:lineRule="auto"/>
              <w:ind w:lef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MIEJSCOWOŚĆ DATA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25">
            <w:pPr>
              <w:spacing w:after="0" w:line="36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  CZYTELNY PODPIS</w:t>
            </w:r>
          </w:p>
        </w:tc>
      </w:tr>
    </w:tbl>
    <w:p w:rsidR="00000000" w:rsidDel="00000000" w:rsidP="00000000" w:rsidRDefault="00000000" w:rsidRPr="00000000" w14:paraId="00000126">
      <w:pPr>
        <w:spacing w:after="0" w:line="259" w:lineRule="auto"/>
        <w:ind w:left="908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9" w:type="default"/>
      <w:headerReference r:id="rId20" w:type="first"/>
      <w:headerReference r:id="rId21" w:type="even"/>
      <w:footerReference r:id="rId22" w:type="default"/>
      <w:footerReference r:id="rId23" w:type="first"/>
      <w:footerReference r:id="rId24" w:type="even"/>
      <w:type w:val="nextPage"/>
      <w:pgSz w:h="16838" w:w="11906" w:orient="portrait"/>
      <w:pgMar w:bottom="1428" w:top="1621" w:left="1400" w:right="1365" w:header="313" w:footer="747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D">
    <w:pPr>
      <w:spacing w:after="0" w:line="259" w:lineRule="auto"/>
      <w:ind w:left="-869" w:right="10495" w:firstLine="0"/>
      <w:jc w:val="left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E">
    <w:pPr>
      <w:spacing w:after="0" w:line="259" w:lineRule="auto"/>
      <w:ind w:left="-869" w:right="10495" w:firstLine="0"/>
      <w:jc w:val="left"/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-863595</wp:posOffset>
              </wp:positionH>
              <wp:positionV relativeFrom="paragraph">
                <wp:posOffset>9791700</wp:posOffset>
              </wp:positionV>
              <wp:extent cx="7559927" cy="890877"/>
              <wp:effectExtent b="0" l="0" r="0" t="0"/>
              <wp:wrapSquare wrapText="bothSides" distB="0" distT="0" distL="114300" distR="114300"/>
              <wp:docPr id="728040450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566025" y="3334550"/>
                        <a:ext cx="7559927" cy="890877"/>
                        <a:chOff x="1566025" y="3334550"/>
                        <a:chExt cx="7559950" cy="3391850"/>
                      </a:xfrm>
                    </wpg:grpSpPr>
                    <wpg:grpSp>
                      <wpg:cNvGrpSpPr/>
                      <wpg:grpSpPr>
                        <a:xfrm>
                          <a:off x="1566037" y="3334562"/>
                          <a:ext cx="7559927" cy="890877"/>
                          <a:chOff x="1566025" y="3334550"/>
                          <a:chExt cx="7559950" cy="3392275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1566025" y="3334550"/>
                            <a:ext cx="7559950" cy="339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1566037" y="3334562"/>
                            <a:ext cx="7559927" cy="890877"/>
                            <a:chOff x="1566025" y="3334550"/>
                            <a:chExt cx="7559950" cy="3393875"/>
                          </a:xfrm>
                        </wpg:grpSpPr>
                        <wps:wsp>
                          <wps:cNvSpPr/>
                          <wps:cNvPr id="39" name="Shape 39"/>
                          <wps:spPr>
                            <a:xfrm>
                              <a:off x="1566025" y="3334550"/>
                              <a:ext cx="7559950" cy="339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1566037" y="3334562"/>
                              <a:ext cx="7559927" cy="890877"/>
                              <a:chOff x="1566025" y="3334550"/>
                              <a:chExt cx="7559950" cy="3400075"/>
                            </a:xfrm>
                          </wpg:grpSpPr>
                          <wps:wsp>
                            <wps:cNvSpPr/>
                            <wps:cNvPr id="41" name="Shape 41"/>
                            <wps:spPr>
                              <a:xfrm>
                                <a:off x="1566025" y="3334550"/>
                                <a:ext cx="7559950" cy="34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1566037" y="3334562"/>
                                <a:ext cx="7559927" cy="890877"/>
                                <a:chOff x="1565400" y="3330325"/>
                                <a:chExt cx="7560575" cy="3423900"/>
                              </a:xfrm>
                            </wpg:grpSpPr>
                            <wps:wsp>
                              <wps:cNvSpPr/>
                              <wps:cNvPr id="43" name="Shape 43"/>
                              <wps:spPr>
                                <a:xfrm>
                                  <a:off x="1565400" y="3330325"/>
                                  <a:ext cx="7560575" cy="34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g:grpSp>
                              <wpg:cNvGrpSpPr/>
                              <wpg:grpSpPr>
                                <a:xfrm>
                                  <a:off x="1565402" y="3330345"/>
                                  <a:ext cx="7560560" cy="895092"/>
                                  <a:chOff x="-635" y="-4217"/>
                                  <a:chExt cx="7560560" cy="895092"/>
                                </a:xfrm>
                              </wpg:grpSpPr>
                              <wps:wsp>
                                <wps:cNvSpPr/>
                                <wps:cNvPr id="45" name="Shape 45"/>
                                <wps:spPr>
                                  <a:xfrm>
                                    <a:off x="0" y="0"/>
                                    <a:ext cx="7559925" cy="890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pic:pic>
                                <pic:nvPicPr>
                                  <pic:cNvPr id="46" name="Shape 46"/>
                                  <pic:cNvPicPr preferRelativeResize="0"/>
                                </pic:nvPicPr>
                                <pic:blipFill rotWithShape="1">
                                  <a:blip r:embed="rId1">
                                    <a:alphaModFix/>
                                  </a:blip>
                                  <a:srcRect b="0" l="0" r="0" t="0"/>
                                  <a:stretch/>
                                </pic:blipFill>
                                <pic:spPr>
                                  <a:xfrm>
                                    <a:off x="-635" y="-4217"/>
                                    <a:ext cx="7543800" cy="8686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wps:wsp>
                                <wps:cNvSpPr/>
                                <wps:cNvPr id="47" name="Shape 47"/>
                                <wps:spPr>
                                  <a:xfrm>
                                    <a:off x="6590410" y="27989"/>
                                    <a:ext cx="94544" cy="18993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160" w:before="0" w:line="258.99999618530273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  <w:r w:rsidDel="00000000" w:rsidR="00000000" w:rsidRPr="00000000">
                                        <w:rPr>
                                          <w:rFonts w:ascii="Calibri" w:cs="Calibri" w:eastAsia="Calibri" w:hAnsi="Calibri"/>
                                          <w:b w:val="0"/>
                                          <w:i w:val="0"/>
                                          <w:smallCaps w:val="0"/>
                                          <w:strike w:val="0"/>
                                          <w:color w:val="000000"/>
                                          <w:sz w:val="22"/>
                                          <w:vertAlign w:val="baseline"/>
                                        </w:rPr>
                                        <w:t xml:space="preserve"> PAGE   \* MERGEFORMAT 1</w:t>
                                      </w:r>
                                    </w:p>
                                  </w:txbxContent>
                                </wps:txbx>
                                <wps:bodyPr anchorCtr="0" anchor="t" bIns="0" lIns="0" spcFirstLastPara="1" rIns="0" wrap="square" tIns="0">
                                  <a:noAutofit/>
                                </wps:bodyPr>
                              </wps:wsp>
                              <wps:wsp>
                                <wps:cNvSpPr/>
                                <wps:cNvPr id="48" name="Shape 48"/>
                                <wps:spPr>
                                  <a:xfrm>
                                    <a:off x="6660514" y="27989"/>
                                    <a:ext cx="42144" cy="18993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160" w:before="0" w:line="258.99999618530273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  <w:r w:rsidDel="00000000" w:rsidR="00000000" w:rsidRPr="00000000">
                                        <w:rPr>
                                          <w:rFonts w:ascii="Calibri" w:cs="Calibri" w:eastAsia="Calibri" w:hAnsi="Calibri"/>
                                          <w:b w:val="0"/>
                                          <w:i w:val="0"/>
                                          <w:smallCaps w:val="0"/>
                                          <w:strike w:val="0"/>
                                          <w:color w:val="000000"/>
                                          <w:sz w:val="22"/>
                                          <w:vertAlign w:val="baseline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wps:txbx>
                                <wps:bodyPr anchorCtr="0" anchor="t" bIns="0" lIns="0" spcFirstLastPara="1" rIns="0" wrap="square" tIns="0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-863595</wp:posOffset>
              </wp:positionH>
              <wp:positionV relativeFrom="paragraph">
                <wp:posOffset>9791700</wp:posOffset>
              </wp:positionV>
              <wp:extent cx="7559927" cy="890877"/>
              <wp:effectExtent b="0" l="0" r="0" t="0"/>
              <wp:wrapSquare wrapText="bothSides" distB="0" distT="0" distL="114300" distR="114300"/>
              <wp:docPr id="728040450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59927" cy="89087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F">
    <w:pPr>
      <w:spacing w:after="0" w:line="259" w:lineRule="auto"/>
      <w:ind w:left="-869" w:right="10495" w:firstLine="0"/>
      <w:jc w:val="left"/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-863595</wp:posOffset>
              </wp:positionH>
              <wp:positionV relativeFrom="paragraph">
                <wp:posOffset>9791700</wp:posOffset>
              </wp:positionV>
              <wp:extent cx="7559927" cy="890877"/>
              <wp:effectExtent b="0" l="0" r="0" t="0"/>
              <wp:wrapSquare wrapText="bothSides" distB="0" distT="0" distL="114300" distR="114300"/>
              <wp:docPr id="728040449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566025" y="3334550"/>
                        <a:ext cx="7559927" cy="890877"/>
                        <a:chOff x="1566025" y="3334550"/>
                        <a:chExt cx="7559950" cy="3391850"/>
                      </a:xfrm>
                    </wpg:grpSpPr>
                    <wpg:grpSp>
                      <wpg:cNvGrpSpPr/>
                      <wpg:grpSpPr>
                        <a:xfrm>
                          <a:off x="1566037" y="3334562"/>
                          <a:ext cx="7559927" cy="890877"/>
                          <a:chOff x="1566025" y="3334550"/>
                          <a:chExt cx="7559950" cy="3392275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1566025" y="3334550"/>
                            <a:ext cx="7559950" cy="339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1566037" y="3334562"/>
                            <a:ext cx="7559927" cy="890877"/>
                            <a:chOff x="1566025" y="3334550"/>
                            <a:chExt cx="7559950" cy="3393875"/>
                          </a:xfrm>
                        </wpg:grpSpPr>
                        <wps:wsp>
                          <wps:cNvSpPr/>
                          <wps:cNvPr id="27" name="Shape 27"/>
                          <wps:spPr>
                            <a:xfrm>
                              <a:off x="1566025" y="3334550"/>
                              <a:ext cx="7559950" cy="339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1566037" y="3334562"/>
                              <a:ext cx="7559927" cy="890877"/>
                              <a:chOff x="1566025" y="3334550"/>
                              <a:chExt cx="7559950" cy="3400075"/>
                            </a:xfrm>
                          </wpg:grpSpPr>
                          <wps:wsp>
                            <wps:cNvSpPr/>
                            <wps:cNvPr id="29" name="Shape 29"/>
                            <wps:spPr>
                              <a:xfrm>
                                <a:off x="1566025" y="3334550"/>
                                <a:ext cx="7559950" cy="34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1566037" y="3334562"/>
                                <a:ext cx="7559927" cy="890877"/>
                                <a:chOff x="1565400" y="3330325"/>
                                <a:chExt cx="7560575" cy="3423900"/>
                              </a:xfrm>
                            </wpg:grpSpPr>
                            <wps:wsp>
                              <wps:cNvSpPr/>
                              <wps:cNvPr id="31" name="Shape 31"/>
                              <wps:spPr>
                                <a:xfrm>
                                  <a:off x="1565400" y="3330325"/>
                                  <a:ext cx="7560575" cy="34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g:grpSp>
                              <wpg:cNvGrpSpPr/>
                              <wpg:grpSpPr>
                                <a:xfrm>
                                  <a:off x="1565402" y="3330345"/>
                                  <a:ext cx="7560560" cy="895092"/>
                                  <a:chOff x="-635" y="-4217"/>
                                  <a:chExt cx="7560560" cy="895092"/>
                                </a:xfrm>
                              </wpg:grpSpPr>
                              <wps:wsp>
                                <wps:cNvSpPr/>
                                <wps:cNvPr id="33" name="Shape 33"/>
                                <wps:spPr>
                                  <a:xfrm>
                                    <a:off x="0" y="0"/>
                                    <a:ext cx="7559925" cy="890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pic:pic>
                                <pic:nvPicPr>
                                  <pic:cNvPr id="34" name="Shape 34"/>
                                  <pic:cNvPicPr preferRelativeResize="0"/>
                                </pic:nvPicPr>
                                <pic:blipFill rotWithShape="1">
                                  <a:blip r:embed="rId1">
                                    <a:alphaModFix/>
                                  </a:blip>
                                  <a:srcRect b="0" l="0" r="0" t="0"/>
                                  <a:stretch/>
                                </pic:blipFill>
                                <pic:spPr>
                                  <a:xfrm>
                                    <a:off x="-635" y="-4217"/>
                                    <a:ext cx="7543800" cy="8686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wps:wsp>
                                <wps:cNvSpPr/>
                                <wps:cNvPr id="35" name="Shape 35"/>
                                <wps:spPr>
                                  <a:xfrm>
                                    <a:off x="6590410" y="27989"/>
                                    <a:ext cx="94544" cy="18993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160" w:before="0" w:line="258.99999618530273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  <w:r w:rsidDel="00000000" w:rsidR="00000000" w:rsidRPr="00000000">
                                        <w:rPr>
                                          <w:rFonts w:ascii="Calibri" w:cs="Calibri" w:eastAsia="Calibri" w:hAnsi="Calibri"/>
                                          <w:b w:val="0"/>
                                          <w:i w:val="0"/>
                                          <w:smallCaps w:val="0"/>
                                          <w:strike w:val="0"/>
                                          <w:color w:val="000000"/>
                                          <w:sz w:val="22"/>
                                          <w:vertAlign w:val="baseline"/>
                                        </w:rPr>
                                        <w:t xml:space="preserve"> PAGE   \* MERGEFORMAT 1</w:t>
                                      </w:r>
                                    </w:p>
                                  </w:txbxContent>
                                </wps:txbx>
                                <wps:bodyPr anchorCtr="0" anchor="t" bIns="0" lIns="0" spcFirstLastPara="1" rIns="0" wrap="square" tIns="0">
                                  <a:noAutofit/>
                                </wps:bodyPr>
                              </wps:wsp>
                              <wps:wsp>
                                <wps:cNvSpPr/>
                                <wps:cNvPr id="36" name="Shape 36"/>
                                <wps:spPr>
                                  <a:xfrm>
                                    <a:off x="6660514" y="27989"/>
                                    <a:ext cx="42144" cy="18993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160" w:before="0" w:line="258.99999618530273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  <w:r w:rsidDel="00000000" w:rsidR="00000000" w:rsidRPr="00000000">
                                        <w:rPr>
                                          <w:rFonts w:ascii="Calibri" w:cs="Calibri" w:eastAsia="Calibri" w:hAnsi="Calibri"/>
                                          <w:b w:val="0"/>
                                          <w:i w:val="0"/>
                                          <w:smallCaps w:val="0"/>
                                          <w:strike w:val="0"/>
                                          <w:color w:val="000000"/>
                                          <w:sz w:val="22"/>
                                          <w:vertAlign w:val="baseline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wps:txbx>
                                <wps:bodyPr anchorCtr="0" anchor="t" bIns="0" lIns="0" spcFirstLastPara="1" rIns="0" wrap="square" tIns="0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-863595</wp:posOffset>
              </wp:positionH>
              <wp:positionV relativeFrom="paragraph">
                <wp:posOffset>9791700</wp:posOffset>
              </wp:positionV>
              <wp:extent cx="7559927" cy="890877"/>
              <wp:effectExtent b="0" l="0" r="0" t="0"/>
              <wp:wrapSquare wrapText="bothSides" distB="0" distT="0" distL="114300" distR="114300"/>
              <wp:docPr id="728040449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59927" cy="89087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0">
    <w:pPr>
      <w:spacing w:after="0" w:line="335" w:lineRule="auto"/>
      <w:ind w:left="998" w:hanging="891"/>
      <w:jc w:val="left"/>
      <w:rPr/>
    </w:pPr>
    <w:r w:rsidDel="00000000" w:rsidR="00000000" w:rsidRPr="00000000">
      <w:rPr>
        <w:rtl w:val="0"/>
      </w:rPr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1">
    <w:pPr>
      <w:spacing w:after="0" w:line="335" w:lineRule="auto"/>
      <w:ind w:left="998" w:hanging="891"/>
      <w:jc w:val="left"/>
      <w:rPr/>
    </w:pPr>
    <w:r w:rsidDel="00000000" w:rsidR="00000000" w:rsidRPr="00000000">
      <w:rPr>
        <w:sz w:val="20"/>
        <w:szCs w:val="20"/>
        <w:rtl w:val="0"/>
      </w:rPr>
      <w:t xml:space="preserve">Projekt pt.: „Szkoła Liderów Monitorowania Prawa” jest realizowany w ramach programu Fundusze Europejskie dla Rozwoju Społecznego 2021-27 współfinansowanego ze środków Europejskiego Funduszu Społecznego Plus.</w:t>
    </w:r>
    <w:r w:rsidDel="00000000" w:rsidR="00000000" w:rsidRPr="00000000">
      <w:rPr>
        <w:rtl w:val="0"/>
      </w:rPr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2">
    <w:pPr>
      <w:spacing w:after="0" w:line="335" w:lineRule="auto"/>
      <w:ind w:left="998" w:hanging="891"/>
      <w:jc w:val="left"/>
      <w:rPr/>
    </w:pPr>
    <w:r w:rsidDel="00000000" w:rsidR="00000000" w:rsidRPr="00000000">
      <w:rPr>
        <w:sz w:val="20"/>
        <w:szCs w:val="20"/>
        <w:rtl w:val="0"/>
      </w:rPr>
      <w:t xml:space="preserve">Projekt pt.: „Szkoła Liderów Monitorowania Prawa” jest realizowany w ramach programu Fundusze Europejskie dla Rozwoju Społecznego 2021-27 współfinansowanego ze środków Europejskiego Funduszu Społecznego Plus.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7">
    <w:pPr>
      <w:spacing w:after="0" w:line="259" w:lineRule="auto"/>
      <w:ind w:left="-869" w:right="10495" w:firstLine="0"/>
      <w:jc w:val="lef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8">
    <w:pPr>
      <w:spacing w:after="0" w:line="259" w:lineRule="auto"/>
      <w:ind w:left="-869" w:right="10495" w:firstLine="0"/>
      <w:jc w:val="left"/>
      <w:rPr/>
    </w:pPr>
    <w:r w:rsidDel="00000000" w:rsidR="00000000" w:rsidRPr="00000000">
      <w:rPr/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07415"/>
              <wp:effectExtent b="0" l="0" r="0" t="0"/>
              <wp:wrapSquare wrapText="bothSides" distB="0" distT="0" distL="114300" distR="114300"/>
              <wp:docPr id="728040448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565700" y="3326275"/>
                        <a:ext cx="7560564" cy="907415"/>
                        <a:chOff x="1565700" y="3326275"/>
                        <a:chExt cx="7560600" cy="907450"/>
                      </a:xfrm>
                    </wpg:grpSpPr>
                    <wpg:grpSp>
                      <wpg:cNvGrpSpPr/>
                      <wpg:grpSpPr>
                        <a:xfrm>
                          <a:off x="1565718" y="3326293"/>
                          <a:ext cx="7560564" cy="907415"/>
                          <a:chOff x="1565700" y="3326275"/>
                          <a:chExt cx="7560600" cy="90745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1565700" y="3326275"/>
                            <a:ext cx="7560600" cy="90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1565718" y="3326293"/>
                            <a:ext cx="7560564" cy="907415"/>
                            <a:chOff x="1565700" y="3326275"/>
                            <a:chExt cx="7560600" cy="907450"/>
                          </a:xfrm>
                        </wpg:grpSpPr>
                        <wps:wsp>
                          <wps:cNvSpPr/>
                          <wps:cNvPr id="16" name="Shape 16"/>
                          <wps:spPr>
                            <a:xfrm>
                              <a:off x="1565700" y="3326275"/>
                              <a:ext cx="7560600" cy="907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1565718" y="3326293"/>
                              <a:ext cx="7560564" cy="907415"/>
                              <a:chOff x="1565700" y="3326275"/>
                              <a:chExt cx="7560600" cy="907450"/>
                            </a:xfrm>
                          </wpg:grpSpPr>
                          <wps:wsp>
                            <wps:cNvSpPr/>
                            <wps:cNvPr id="18" name="Shape 18"/>
                            <wps:spPr>
                              <a:xfrm>
                                <a:off x="1565700" y="3326275"/>
                                <a:ext cx="7560600" cy="907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1565718" y="3326293"/>
                                <a:ext cx="7560564" cy="907415"/>
                                <a:chOff x="1565700" y="3326275"/>
                                <a:chExt cx="7560575" cy="936725"/>
                              </a:xfrm>
                            </wpg:grpSpPr>
                            <wps:wsp>
                              <wps:cNvSpPr/>
                              <wps:cNvPr id="20" name="Shape 20"/>
                              <wps:spPr>
                                <a:xfrm>
                                  <a:off x="1565700" y="3326275"/>
                                  <a:ext cx="7560575" cy="936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g:grpSp>
                              <wpg:cNvGrpSpPr/>
                              <wpg:grpSpPr>
                                <a:xfrm>
                                  <a:off x="1565718" y="3326293"/>
                                  <a:ext cx="7560550" cy="936696"/>
                                  <a:chOff x="0" y="0"/>
                                  <a:chExt cx="7560550" cy="936696"/>
                                </a:xfrm>
                              </wpg:grpSpPr>
                              <wps:wsp>
                                <wps:cNvSpPr/>
                                <wps:cNvPr id="22" name="Shape 22"/>
                                <wps:spPr>
                                  <a:xfrm>
                                    <a:off x="0" y="0"/>
                                    <a:ext cx="7560550" cy="907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pic:pic>
                                <pic:nvPicPr>
                                  <pic:cNvPr id="23" name="Shape 23"/>
                                  <pic:cNvPicPr preferRelativeResize="0"/>
                                </pic:nvPicPr>
                                <pic:blipFill rotWithShape="1">
                                  <a:blip r:embed="rId1">
                                    <a:alphaModFix/>
                                  </a:blip>
                                  <a:srcRect b="0" l="0" r="0" t="0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7543800" cy="90830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wps:wsp>
                                <wps:cNvSpPr/>
                                <wps:cNvPr id="24" name="Shape 24"/>
                                <wps:spPr>
                                  <a:xfrm>
                                    <a:off x="897941" y="746759"/>
                                    <a:ext cx="42144" cy="18993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160" w:before="0" w:line="258.99999618530273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  <w:r w:rsidDel="00000000" w:rsidR="00000000" w:rsidRPr="00000000">
                                        <w:rPr>
                                          <w:rFonts w:ascii="Calibri" w:cs="Calibri" w:eastAsia="Calibri" w:hAnsi="Calibri"/>
                                          <w:b w:val="0"/>
                                          <w:i w:val="0"/>
                                          <w:smallCaps w:val="0"/>
                                          <w:strike w:val="0"/>
                                          <w:color w:val="000000"/>
                                          <w:sz w:val="22"/>
                                          <w:vertAlign w:val="baseline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wps:txbx>
                                <wps:bodyPr anchorCtr="0" anchor="t" bIns="0" lIns="0" spcFirstLastPara="1" rIns="0" wrap="square" tIns="0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07415"/>
              <wp:effectExtent b="0" l="0" r="0" t="0"/>
              <wp:wrapSquare wrapText="bothSides" distB="0" distT="0" distL="114300" distR="114300"/>
              <wp:docPr id="728040448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564" cy="90741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9">
    <w:pPr>
      <w:spacing w:after="0" w:line="259" w:lineRule="auto"/>
      <w:ind w:left="-869" w:right="10495" w:firstLine="0"/>
      <w:jc w:val="left"/>
      <w:rPr/>
    </w:pPr>
    <w:r w:rsidDel="00000000" w:rsidR="00000000" w:rsidRPr="00000000">
      <w:rPr/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07415"/>
              <wp:effectExtent b="0" l="0" r="0" t="0"/>
              <wp:wrapSquare wrapText="bothSides" distB="0" distT="0" distL="114300" distR="114300"/>
              <wp:docPr id="728040447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565700" y="3326275"/>
                        <a:ext cx="7560564" cy="907415"/>
                        <a:chOff x="1565700" y="3326275"/>
                        <a:chExt cx="7560600" cy="907450"/>
                      </a:xfrm>
                    </wpg:grpSpPr>
                    <wpg:grpSp>
                      <wpg:cNvGrpSpPr/>
                      <wpg:grpSpPr>
                        <a:xfrm>
                          <a:off x="1565718" y="3326293"/>
                          <a:ext cx="7560564" cy="907415"/>
                          <a:chOff x="1565700" y="3326275"/>
                          <a:chExt cx="7560600" cy="90745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1565700" y="3326275"/>
                            <a:ext cx="7560600" cy="90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1565718" y="3326293"/>
                            <a:ext cx="7560564" cy="907415"/>
                            <a:chOff x="1565700" y="3326275"/>
                            <a:chExt cx="7560600" cy="907450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1565700" y="3326275"/>
                              <a:ext cx="7560600" cy="907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1565718" y="3326293"/>
                              <a:ext cx="7560564" cy="907415"/>
                              <a:chOff x="1565700" y="3326275"/>
                              <a:chExt cx="7560600" cy="907450"/>
                            </a:xfrm>
                          </wpg:grpSpPr>
                          <wps:wsp>
                            <wps:cNvSpPr/>
                            <wps:cNvPr id="7" name="Shape 7"/>
                            <wps:spPr>
                              <a:xfrm>
                                <a:off x="1565700" y="3326275"/>
                                <a:ext cx="7560600" cy="907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1565718" y="3326293"/>
                                <a:ext cx="7560564" cy="907415"/>
                                <a:chOff x="1565700" y="3326275"/>
                                <a:chExt cx="7560575" cy="936725"/>
                              </a:xfrm>
                            </wpg:grpSpPr>
                            <wps:wsp>
                              <wps:cNvSpPr/>
                              <wps:cNvPr id="9" name="Shape 9"/>
                              <wps:spPr>
                                <a:xfrm>
                                  <a:off x="1565700" y="3326275"/>
                                  <a:ext cx="7560575" cy="936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g:grpSp>
                              <wpg:cNvGrpSpPr/>
                              <wpg:grpSpPr>
                                <a:xfrm>
                                  <a:off x="1565718" y="3326293"/>
                                  <a:ext cx="7560550" cy="936696"/>
                                  <a:chOff x="0" y="0"/>
                                  <a:chExt cx="7560550" cy="936696"/>
                                </a:xfrm>
                              </wpg:grpSpPr>
                              <wps:wsp>
                                <wps:cNvSpPr/>
                                <wps:cNvPr id="11" name="Shape 11"/>
                                <wps:spPr>
                                  <a:xfrm>
                                    <a:off x="0" y="0"/>
                                    <a:ext cx="7560550" cy="907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pic:pic>
                                <pic:nvPicPr>
                                  <pic:cNvPr id="12" name="Shape 12"/>
                                  <pic:cNvPicPr preferRelativeResize="0"/>
                                </pic:nvPicPr>
                                <pic:blipFill rotWithShape="1">
                                  <a:blip r:embed="rId1">
                                    <a:alphaModFix/>
                                  </a:blip>
                                  <a:srcRect b="0" l="0" r="0" t="0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7543800" cy="90830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wps:wsp>
                                <wps:cNvSpPr/>
                                <wps:cNvPr id="13" name="Shape 13"/>
                                <wps:spPr>
                                  <a:xfrm>
                                    <a:off x="897941" y="746759"/>
                                    <a:ext cx="42144" cy="18993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160" w:before="0" w:line="258.99999618530273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  <w:r w:rsidDel="00000000" w:rsidR="00000000" w:rsidRPr="00000000">
                                        <w:rPr>
                                          <w:rFonts w:ascii="Calibri" w:cs="Calibri" w:eastAsia="Calibri" w:hAnsi="Calibri"/>
                                          <w:b w:val="0"/>
                                          <w:i w:val="0"/>
                                          <w:smallCaps w:val="0"/>
                                          <w:strike w:val="0"/>
                                          <w:color w:val="000000"/>
                                          <w:sz w:val="22"/>
                                          <w:vertAlign w:val="baseline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wps:txbx>
                                <wps:bodyPr anchorCtr="0" anchor="t" bIns="0" lIns="0" spcFirstLastPara="1" rIns="0" wrap="square" tIns="0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07415"/>
              <wp:effectExtent b="0" l="0" r="0" t="0"/>
              <wp:wrapSquare wrapText="bothSides" distB="0" distT="0" distL="114300" distR="114300"/>
              <wp:docPr id="728040447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564" cy="90741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A">
    <w:pPr>
      <w:spacing w:after="0" w:line="259" w:lineRule="auto"/>
      <w:ind w:left="-1400" w:right="33" w:firstLine="0"/>
      <w:jc w:val="left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918844</wp:posOffset>
          </wp:positionH>
          <wp:positionV relativeFrom="page">
            <wp:posOffset>198755</wp:posOffset>
          </wp:positionV>
          <wp:extent cx="5762625" cy="790575"/>
          <wp:effectExtent b="0" l="0" r="0" t="0"/>
          <wp:wrapSquare wrapText="bothSides" distB="0" distT="0" distL="114300" distR="114300"/>
          <wp:docPr id="72804045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2625" cy="7905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B">
    <w:pPr>
      <w:spacing w:after="0" w:line="259" w:lineRule="auto"/>
      <w:ind w:left="-1400" w:right="33" w:firstLine="0"/>
      <w:jc w:val="left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918844</wp:posOffset>
          </wp:positionH>
          <wp:positionV relativeFrom="page">
            <wp:posOffset>198755</wp:posOffset>
          </wp:positionV>
          <wp:extent cx="5762625" cy="790575"/>
          <wp:effectExtent b="0" l="0" r="0" t="0"/>
          <wp:wrapSquare wrapText="bothSides" distB="0" distT="0" distL="114300" distR="114300"/>
          <wp:docPr id="72804045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2625" cy="7905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6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C">
    <w:pPr>
      <w:spacing w:after="0" w:line="259" w:lineRule="auto"/>
      <w:ind w:left="-1400" w:right="33" w:firstLine="0"/>
      <w:jc w:val="left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918844</wp:posOffset>
          </wp:positionH>
          <wp:positionV relativeFrom="page">
            <wp:posOffset>198755</wp:posOffset>
          </wp:positionV>
          <wp:extent cx="5762625" cy="790575"/>
          <wp:effectExtent b="0" l="0" r="0" t="0"/>
          <wp:wrapSquare wrapText="bothSides" distB="0" distT="0" distL="114300" distR="114300"/>
          <wp:docPr id="72804045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2625" cy="7905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86" w:hanging="360.0000000000003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644" w:hanging="359.99999999999966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firstLine="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2585" w:hanging="1865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3305" w:hanging="2585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□"/>
      <w:lvlJc w:val="left"/>
      <w:pPr>
        <w:ind w:left="4025" w:hanging="3305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745" w:hanging="4025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465" w:hanging="4745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□"/>
      <w:lvlJc w:val="left"/>
      <w:pPr>
        <w:ind w:left="6185" w:hanging="5465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905" w:hanging="6185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975" w:hanging="975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511" w:hanging="151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2231" w:hanging="223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951" w:hanging="295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671" w:hanging="367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391" w:hanging="439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5111" w:hanging="511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831" w:hanging="583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551" w:hanging="655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lowerLetter"/>
      <w:lvlText w:val="%1)"/>
      <w:lvlJc w:val="left"/>
      <w:pPr>
        <w:ind w:left="1253" w:hanging="125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680" w:hanging="16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2400" w:hanging="24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3120" w:hanging="31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840" w:hanging="384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560" w:hanging="456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5280" w:hanging="52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6000" w:hanging="60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720" w:hanging="67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643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3" w:hanging="359.9999999999993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3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4"/>
      <w:numFmt w:val="decimal"/>
      <w:lvlText w:val="%1."/>
      <w:lvlJc w:val="left"/>
      <w:pPr>
        <w:ind w:left="975" w:hanging="975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388" w:hanging="138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2108" w:hanging="210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828" w:hanging="282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548" w:hanging="354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268" w:hanging="426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988" w:hanging="498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708" w:hanging="570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428" w:hanging="642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decimal"/>
      <w:lvlText w:val="%1."/>
      <w:lvlJc w:val="left"/>
      <w:pPr>
        <w:ind w:left="975" w:hanging="975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1253" w:hanging="125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678" w:hanging="167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398" w:hanging="239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118" w:hanging="311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838" w:hanging="383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558" w:hanging="455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278" w:hanging="527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5998" w:hanging="5998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upperRoman"/>
      <w:lvlText w:val="%1."/>
      <w:lvlJc w:val="left"/>
      <w:pPr>
        <w:ind w:left="785" w:hanging="360"/>
      </w:pPr>
      <w:rPr>
        <w:b w:val="1"/>
        <w:bCs w:val="1"/>
      </w:rPr>
    </w:lvl>
    <w:lvl w:ilvl="1">
      <w:start w:val="1"/>
      <w:numFmt w:val="lowerLetter"/>
      <w:lvlText w:val="%2)"/>
      <w:lvlJc w:val="left"/>
      <w:pPr>
        <w:ind w:left="1145" w:hanging="360"/>
      </w:pPr>
      <w:rPr/>
    </w:lvl>
    <w:lvl w:ilvl="2">
      <w:start w:val="1"/>
      <w:numFmt w:val="lowerRoman"/>
      <w:lvlText w:val="%3)"/>
      <w:lvlJc w:val="left"/>
      <w:pPr>
        <w:ind w:left="1505" w:hanging="360"/>
      </w:pPr>
      <w:rPr/>
    </w:lvl>
    <w:lvl w:ilvl="3">
      <w:start w:val="1"/>
      <w:numFmt w:val="decimal"/>
      <w:lvlText w:val="(%4)"/>
      <w:lvlJc w:val="left"/>
      <w:pPr>
        <w:ind w:left="1865" w:hanging="360"/>
      </w:pPr>
      <w:rPr/>
    </w:lvl>
    <w:lvl w:ilvl="4">
      <w:start w:val="1"/>
      <w:numFmt w:val="lowerLetter"/>
      <w:lvlText w:val="(%5)"/>
      <w:lvlJc w:val="left"/>
      <w:pPr>
        <w:ind w:left="2225" w:hanging="360"/>
      </w:pPr>
      <w:rPr/>
    </w:lvl>
    <w:lvl w:ilvl="5">
      <w:start w:val="1"/>
      <w:numFmt w:val="lowerRoman"/>
      <w:lvlText w:val="(%6)"/>
      <w:lvlJc w:val="left"/>
      <w:pPr>
        <w:ind w:left="2585" w:hanging="360"/>
      </w:pPr>
      <w:rPr/>
    </w:lvl>
    <w:lvl w:ilvl="6">
      <w:start w:val="1"/>
      <w:numFmt w:val="decimal"/>
      <w:lvlText w:val="%7."/>
      <w:lvlJc w:val="left"/>
      <w:pPr>
        <w:ind w:left="2945" w:hanging="360"/>
      </w:pPr>
      <w:rPr/>
    </w:lvl>
    <w:lvl w:ilvl="7">
      <w:start w:val="1"/>
      <w:numFmt w:val="lowerLetter"/>
      <w:lvlText w:val="%8."/>
      <w:lvlJc w:val="left"/>
      <w:pPr>
        <w:ind w:left="3305" w:hanging="360"/>
      </w:pPr>
      <w:rPr/>
    </w:lvl>
    <w:lvl w:ilvl="8">
      <w:start w:val="1"/>
      <w:numFmt w:val="lowerRoman"/>
      <w:lvlText w:val="%9."/>
      <w:lvlJc w:val="left"/>
      <w:pPr>
        <w:ind w:left="3665" w:hanging="360"/>
      </w:pPr>
      <w:rPr/>
    </w:lvl>
  </w:abstractNum>
  <w:abstractNum w:abstractNumId="12">
    <w:lvl w:ilvl="0">
      <w:start w:val="4"/>
      <w:numFmt w:val="upperRoman"/>
      <w:lvlText w:val="%1."/>
      <w:lvlJc w:val="left"/>
      <w:pPr>
        <w:ind w:left="0" w:firstLine="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142" w:hanging="14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✔"/>
      <w:lvlJc w:val="left"/>
      <w:pPr>
        <w:ind w:left="106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□"/>
      <w:lvlJc w:val="left"/>
      <w:pPr>
        <w:ind w:left="2110" w:hanging="2110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2830" w:hanging="2830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3550" w:hanging="3550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□"/>
      <w:lvlJc w:val="left"/>
      <w:pPr>
        <w:ind w:left="4270" w:hanging="4270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4990" w:hanging="4990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644" w:hanging="359.99999999999966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5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7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9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1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3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5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7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99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3"/>
      <w:numFmt w:val="decimal"/>
      <w:lvlText w:val="%1."/>
      <w:lvlJc w:val="left"/>
      <w:pPr>
        <w:ind w:left="0" w:firstLine="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➢"/>
      <w:lvlJc w:val="left"/>
      <w:pPr>
        <w:ind w:left="1253" w:hanging="1253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1748" w:hanging="1748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□"/>
      <w:lvlJc w:val="left"/>
      <w:pPr>
        <w:ind w:left="2468" w:hanging="2468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3188" w:hanging="3188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3908" w:hanging="3908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□"/>
      <w:lvlJc w:val="left"/>
      <w:pPr>
        <w:ind w:left="4628" w:hanging="4628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5348" w:hanging="5348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8"/>
      <w:numFmt w:val="upperRoman"/>
      <w:lvlText w:val="%1."/>
      <w:lvlJc w:val="left"/>
      <w:pPr>
        <w:ind w:left="465" w:hanging="465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✔"/>
      <w:lvlJc w:val="left"/>
      <w:pPr>
        <w:ind w:left="1101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2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4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6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8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0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2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4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61" w:hanging="360"/>
      </w:pPr>
      <w:rPr>
        <w:rFonts w:ascii="Noto Sans Symbols" w:cs="Noto Sans Symbols" w:eastAsia="Noto Sans Symbols" w:hAnsi="Noto Sans Symbols"/>
      </w:rPr>
    </w:lvl>
  </w:abstractNum>
  <w:abstractNum w:abstractNumId="18">
    <w:lvl w:ilvl="0">
      <w:start w:val="1"/>
      <w:numFmt w:val="bullet"/>
      <w:lvlText w:val="●"/>
      <w:lvlJc w:val="left"/>
      <w:pPr>
        <w:ind w:left="643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3" w:hanging="359.9999999999993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3" w:hanging="360"/>
      </w:pPr>
      <w:rPr>
        <w:rFonts w:ascii="Noto Sans Symbols" w:cs="Noto Sans Symbols" w:eastAsia="Noto Sans Symbols" w:hAnsi="Noto Sans Symbols"/>
      </w:rPr>
    </w:lvl>
  </w:abstractNum>
  <w:abstractNum w:abstractNumId="19">
    <w:lvl w:ilvl="0">
      <w:start w:val="4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643" w:hanging="360"/>
      </w:pPr>
      <w:rPr/>
    </w:lvl>
    <w:lvl w:ilvl="2">
      <w:start w:val="1"/>
      <w:numFmt w:val="decimal"/>
      <w:lvlText w:val="%1.%2.%3"/>
      <w:lvlJc w:val="left"/>
      <w:pPr>
        <w:ind w:left="1810" w:hanging="720"/>
      </w:pPr>
      <w:rPr/>
    </w:lvl>
    <w:lvl w:ilvl="3">
      <w:start w:val="1"/>
      <w:numFmt w:val="decimal"/>
      <w:lvlText w:val="%1.%2.%3.%4"/>
      <w:lvlJc w:val="left"/>
      <w:pPr>
        <w:ind w:left="2355" w:hanging="720"/>
      </w:pPr>
      <w:rPr/>
    </w:lvl>
    <w:lvl w:ilvl="4">
      <w:start w:val="1"/>
      <w:numFmt w:val="decimal"/>
      <w:lvlText w:val="%1.%2.%3.%4.%5"/>
      <w:lvlJc w:val="left"/>
      <w:pPr>
        <w:ind w:left="3260" w:hanging="1080"/>
      </w:pPr>
      <w:rPr/>
    </w:lvl>
    <w:lvl w:ilvl="5">
      <w:start w:val="1"/>
      <w:numFmt w:val="decimal"/>
      <w:lvlText w:val="%1.%2.%3.%4.%5.%6"/>
      <w:lvlJc w:val="left"/>
      <w:pPr>
        <w:ind w:left="3805" w:hanging="1080"/>
      </w:pPr>
      <w:rPr/>
    </w:lvl>
    <w:lvl w:ilvl="6">
      <w:start w:val="1"/>
      <w:numFmt w:val="decimal"/>
      <w:lvlText w:val="%1.%2.%3.%4.%5.%6.%7"/>
      <w:lvlJc w:val="left"/>
      <w:pPr>
        <w:ind w:left="4710" w:hanging="1440"/>
      </w:pPr>
      <w:rPr/>
    </w:lvl>
    <w:lvl w:ilvl="7">
      <w:start w:val="1"/>
      <w:numFmt w:val="decimal"/>
      <w:lvlText w:val="%1.%2.%3.%4.%5.%6.%7.%8"/>
      <w:lvlJc w:val="left"/>
      <w:pPr>
        <w:ind w:left="5255" w:hanging="1440"/>
      </w:pPr>
      <w:rPr/>
    </w:lvl>
    <w:lvl w:ilvl="8">
      <w:start w:val="1"/>
      <w:numFmt w:val="decimal"/>
      <w:lvlText w:val="%1.%2.%3.%4.%5.%6.%7.%8.%9"/>
      <w:lvlJc w:val="left"/>
      <w:pPr>
        <w:ind w:left="5800" w:hanging="1440"/>
      </w:pPr>
      <w:rPr/>
    </w:lvl>
  </w:abstractNum>
  <w:abstractNum w:abstractNumId="20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21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22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23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93" w:hanging="109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13" w:hanging="181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33" w:hanging="253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53" w:hanging="325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73" w:hanging="397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93" w:hanging="469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13" w:hanging="541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33" w:hanging="613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24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2" w:hanging="108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2" w:hanging="180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2" w:hanging="252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2" w:hanging="324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2" w:hanging="39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2" w:hanging="468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2" w:hanging="540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2" w:hanging="612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25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27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28">
    <w:lvl w:ilvl="0">
      <w:start w:val="18"/>
      <w:numFmt w:val="upperRoman"/>
      <w:lvlText w:val="%1."/>
      <w:lvlJc w:val="left"/>
      <w:pPr>
        <w:ind w:left="589" w:hanging="589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cs="Calibri" w:eastAsia="Calibri" w:hAnsi="Calibri"/>
        <w:b w:val="1"/>
        <w:bCs w:val="1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29">
    <w:lvl w:ilvl="0">
      <w:start w:val="1"/>
      <w:numFmt w:val="decimal"/>
      <w:lvlText w:val="%1)"/>
      <w:lvlJc w:val="left"/>
      <w:pPr>
        <w:ind w:left="362" w:hanging="362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093" w:hanging="109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813" w:hanging="181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533" w:hanging="253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253" w:hanging="325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973" w:hanging="397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693" w:hanging="469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413" w:hanging="541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133" w:hanging="6133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3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bullet"/>
      <w:lvlText w:val="●"/>
      <w:lvlJc w:val="left"/>
      <w:pPr>
        <w:ind w:left="72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5" w:hanging="360"/>
      </w:pPr>
      <w:rPr>
        <w:rFonts w:ascii="Noto Sans Symbols" w:cs="Noto Sans Symbols" w:eastAsia="Noto Sans Symbols" w:hAnsi="Noto Sans Symbols"/>
      </w:rPr>
    </w:lvl>
  </w:abstractNum>
  <w:abstractNum w:abstractNumId="32">
    <w:lvl w:ilvl="0">
      <w:start w:val="1"/>
      <w:numFmt w:val="bullet"/>
      <w:lvlText w:val="●"/>
      <w:lvlJc w:val="left"/>
      <w:pPr>
        <w:ind w:left="72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5" w:hanging="360"/>
      </w:pPr>
      <w:rPr>
        <w:rFonts w:ascii="Noto Sans Symbols" w:cs="Noto Sans Symbols" w:eastAsia="Noto Sans Symbols" w:hAnsi="Noto Sans Symbols"/>
      </w:rPr>
    </w:lvl>
  </w:abstractNum>
  <w:abstractNum w:abstractNumId="33">
    <w:lvl w:ilvl="0">
      <w:start w:val="1"/>
      <w:numFmt w:val="bullet"/>
      <w:lvlText w:val="●"/>
      <w:lvlJc w:val="left"/>
      <w:pPr>
        <w:ind w:left="1613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33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05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77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49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21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93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65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373" w:hanging="360"/>
      </w:pPr>
      <w:rPr>
        <w:rFonts w:ascii="Noto Sans Symbols" w:cs="Noto Sans Symbols" w:eastAsia="Noto Sans Symbols" w:hAnsi="Noto Sans Symbols"/>
      </w:rPr>
    </w:lvl>
  </w:abstractNum>
  <w:abstractNum w:abstractNumId="3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5">
    <w:lvl w:ilvl="0">
      <w:start w:val="1"/>
      <w:numFmt w:val="decimal"/>
      <w:lvlText w:val="%1."/>
      <w:lvlJc w:val="left"/>
      <w:pPr>
        <w:ind w:left="975" w:hanging="975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261" w:hanging="126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981" w:hanging="198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701" w:hanging="270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421" w:hanging="342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141" w:hanging="414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861" w:hanging="486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581" w:hanging="558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301" w:hanging="6301"/>
      </w:pPr>
      <w:rPr>
        <w:rFonts w:ascii="Calibri" w:cs="Calibri" w:eastAsia="Calibri" w:hAnsi="Calibri"/>
        <w:b w:val="0"/>
        <w:bCs w:val="0"/>
        <w:i w:val="0"/>
        <w:iC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39" w:line="270" w:lineRule="auto"/>
        <w:ind w:left="555" w:right="2" w:hanging="10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0" w:before="0" w:line="268" w:lineRule="auto"/>
      <w:ind w:left="4033" w:right="4" w:hanging="10"/>
      <w:jc w:val="left"/>
    </w:pPr>
    <w:rPr>
      <w:rFonts w:ascii="Calibri" w:cs="Calibri" w:eastAsia="Calibri" w:hAnsi="Calibri"/>
      <w:b w:val="1"/>
      <w:bCs w:val="1"/>
      <w:i w:val="0"/>
      <w:iCs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character" w:styleId="Domylnaczcionkaakapitu" w:default="1">
    <w:name w:val="Default Paragraph Font"/>
    <w:uiPriority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link w:val="Nagwek1"/>
    <w:rPr>
      <w:rFonts w:ascii="Calibri" w:cs="Calibri" w:eastAsia="Calibri" w:hAnsi="Calibri"/>
      <w:b w:val="1"/>
      <w:color w:val="000000"/>
      <w:sz w:val="22"/>
    </w:rPr>
  </w:style>
  <w:style w:type="table" w:styleId="TableGrid" w:customStyle="1">
    <w:name w:val="TableGrid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nyWeb">
    <w:name w:val="Normal (Web)"/>
    <w:basedOn w:val="Normalny"/>
    <w:uiPriority w:val="99"/>
    <w:unhideWhenUsed w:val="1"/>
    <w:rsid w:val="00860845"/>
    <w:pPr>
      <w:spacing w:after="100" w:afterAutospacing="1" w:before="100" w:beforeAutospacing="1" w:line="240" w:lineRule="auto"/>
      <w:ind w:left="0" w:right="0" w:firstLine="0"/>
      <w:jc w:val="left"/>
    </w:pPr>
    <w:rPr>
      <w:rFonts w:ascii="Times New Roman" w:cs="Times New Roman" w:eastAsia="Times New Roman" w:hAnsi="Times New Roman"/>
      <w:color w:val="auto"/>
      <w:kern w:val="0"/>
      <w:sz w:val="24"/>
    </w:rPr>
  </w:style>
  <w:style w:type="paragraph" w:styleId="Akapitzlist">
    <w:name w:val="List Paragraph"/>
    <w:basedOn w:val="Normalny"/>
    <w:uiPriority w:val="34"/>
    <w:qFormat w:val="1"/>
    <w:rsid w:val="0041732E"/>
    <w:pPr>
      <w:ind w:left="720"/>
      <w:contextualSpacing w:val="1"/>
    </w:pPr>
  </w:style>
  <w:style w:type="paragraph" w:styleId="footnotedescription" w:customStyle="1">
    <w:name w:val="footnote description"/>
    <w:next w:val="Normalny"/>
    <w:link w:val="footnotedescriptionChar"/>
    <w:hidden w:val="1"/>
    <w:rsid w:val="00413457"/>
    <w:pPr>
      <w:spacing w:after="0" w:line="259" w:lineRule="auto"/>
      <w:ind w:left="17"/>
    </w:pPr>
    <w:rPr>
      <w:rFonts w:ascii="Calibri" w:cs="Calibri" w:eastAsia="Calibri" w:hAnsi="Calibri"/>
      <w:color w:val="000000"/>
      <w:sz w:val="16"/>
    </w:rPr>
  </w:style>
  <w:style w:type="character" w:styleId="footnotedescriptionChar" w:customStyle="1">
    <w:name w:val="footnote description Char"/>
    <w:link w:val="footnotedescription"/>
    <w:rsid w:val="00413457"/>
    <w:rPr>
      <w:rFonts w:ascii="Calibri" w:cs="Calibri" w:eastAsia="Calibri" w:hAnsi="Calibri"/>
      <w:color w:val="000000"/>
      <w:sz w:val="16"/>
    </w:rPr>
  </w:style>
  <w:style w:type="character" w:styleId="footnotemark" w:customStyle="1">
    <w:name w:val="footnote mark"/>
    <w:hidden w:val="1"/>
    <w:rsid w:val="00413457"/>
    <w:rPr>
      <w:rFonts w:ascii="Calibri" w:cs="Calibri" w:eastAsia="Calibri" w:hAnsi="Calibri"/>
      <w:color w:val="000000"/>
      <w:sz w:val="16"/>
      <w:vertAlign w:val="superscript"/>
    </w:rPr>
  </w:style>
  <w:style w:type="character" w:styleId="Hipercze">
    <w:name w:val="Hyperlink"/>
    <w:basedOn w:val="Domylnaczcionkaakapitu"/>
    <w:uiPriority w:val="99"/>
    <w:unhideWhenUsed w:val="1"/>
    <w:rsid w:val="00413457"/>
    <w:rPr>
      <w:color w:val="467886" w:themeColor="hyperlink"/>
      <w:u w:val="single"/>
    </w:rPr>
  </w:style>
  <w:style w:type="paragraph" w:styleId="Bezodstpw">
    <w:name w:val="No Spacing"/>
    <w:uiPriority w:val="1"/>
    <w:qFormat w:val="1"/>
    <w:rsid w:val="00A12EE6"/>
    <w:pPr>
      <w:spacing w:after="0" w:line="240" w:lineRule="auto"/>
    </w:pPr>
    <w:rPr>
      <w:rFonts w:ascii="Calibri" w:cs="Times New Roman" w:eastAsia="Calibri" w:hAnsi="Calibri"/>
      <w:kern w:val="0"/>
      <w:sz w:val="22"/>
      <w:szCs w:val="22"/>
      <w:lang w:eastAsia="en-US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48.0" w:type="dxa"/>
        <w:left w:w="106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48.0" w:type="dxa"/>
        <w:left w:w="106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48.0" w:type="dxa"/>
        <w:left w:w="106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48.0" w:type="dxa"/>
        <w:left w:w="106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48.0" w:type="dxa"/>
        <w:left w:w="106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eader" Target="header5.xml"/><Relationship Id="rId11" Type="http://schemas.openxmlformats.org/officeDocument/2006/relationships/hyperlink" Target="https://bazakonkurencyjnosci.funduszeeuropejskie.gov.pl/" TargetMode="External"/><Relationship Id="rId22" Type="http://schemas.openxmlformats.org/officeDocument/2006/relationships/footer" Target="footer4.xml"/><Relationship Id="rId10" Type="http://schemas.openxmlformats.org/officeDocument/2006/relationships/hyperlink" Target="https://bazakonkurencyjnosci.funduszeeuropejskie.gov.pl/" TargetMode="External"/><Relationship Id="rId21" Type="http://schemas.openxmlformats.org/officeDocument/2006/relationships/header" Target="header6.xml"/><Relationship Id="rId13" Type="http://schemas.openxmlformats.org/officeDocument/2006/relationships/header" Target="header2.xml"/><Relationship Id="rId24" Type="http://schemas.openxmlformats.org/officeDocument/2006/relationships/footer" Target="footer6.xml"/><Relationship Id="rId12" Type="http://schemas.openxmlformats.org/officeDocument/2006/relationships/header" Target="header1.xml"/><Relationship Id="rId23" Type="http://schemas.openxmlformats.org/officeDocument/2006/relationships/footer" Target="footer5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bazakonkurencyjnosci.funduszeeuropejskie.gov.pl/" TargetMode="External"/><Relationship Id="rId15" Type="http://schemas.openxmlformats.org/officeDocument/2006/relationships/footer" Target="footer1.xml"/><Relationship Id="rId14" Type="http://schemas.openxmlformats.org/officeDocument/2006/relationships/header" Target="header3.xml"/><Relationship Id="rId17" Type="http://schemas.openxmlformats.org/officeDocument/2006/relationships/footer" Target="footer3.xml"/><Relationship Id="rId16" Type="http://schemas.openxmlformats.org/officeDocument/2006/relationships/footer" Target="footer2.xml"/><Relationship Id="rId5" Type="http://schemas.openxmlformats.org/officeDocument/2006/relationships/styles" Target="styles.xml"/><Relationship Id="rId19" Type="http://schemas.openxmlformats.org/officeDocument/2006/relationships/header" Target="header4.xml"/><Relationship Id="rId6" Type="http://schemas.openxmlformats.org/officeDocument/2006/relationships/customXml" Target="../customXML/item1.xml"/><Relationship Id="rId18" Type="http://schemas.openxmlformats.org/officeDocument/2006/relationships/hyperlink" Target="mailto:IOD@kprm.gov.pl" TargetMode="External"/><Relationship Id="rId7" Type="http://schemas.openxmlformats.org/officeDocument/2006/relationships/hyperlink" Target="https://www.google.com/maps/place//data=!4m2!3m1!1s0x4719229e376a428d:0x85701fdd00b60ae?sa=X&amp;ved=1t:8290&amp;ictx=111" TargetMode="External"/><Relationship Id="rId8" Type="http://schemas.openxmlformats.org/officeDocument/2006/relationships/hyperlink" Target="https://bazakonkurencyjnosci.funduszeeuropejskie.gov.pl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8.png"/><Relationship Id="rId2" Type="http://schemas.openxmlformats.org/officeDocument/2006/relationships/image" Target="media/image3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8.png"/><Relationship Id="rId2" Type="http://schemas.openxmlformats.org/officeDocument/2006/relationships/image" Target="media/image3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7.jpg"/><Relationship Id="rId2" Type="http://schemas.openxmlformats.org/officeDocument/2006/relationships/image" Target="media/image3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7.jpg"/><Relationship Id="rId2" Type="http://schemas.openxmlformats.org/officeDocument/2006/relationships/image" Target="media/image3.png"/></Relationships>
</file>

<file path=word/_rels/header4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6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Qjm4Xzy9J+gesAwlokVlfVYJLw==">CgMxLjAyDmguemh6emw0ejM5ZG1oOAByITFJS1NUNDQ4VEpQTXh2YkpwYmVIT1dVOEY3NnVFUzhtUw==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2025-04-15T15:55:00Z</dcterms:created>
  <dc:creator>Konrad</dc:creator>
</cp:coreProperties>
</file>